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D6" w:rsidRPr="002A5573" w:rsidRDefault="00D937D4" w:rsidP="002A5573">
      <w:pPr>
        <w:pStyle w:val="SCL-Title"/>
        <w:pBdr>
          <w:top w:val="none" w:sz="0" w:space="0" w:color="auto"/>
        </w:pBdr>
        <w:rPr>
          <w:sz w:val="36"/>
        </w:rPr>
      </w:pPr>
      <w:r>
        <w:t>Management of Public Official Complaints</w:t>
      </w:r>
    </w:p>
    <w:p w:rsidR="007901D6" w:rsidRPr="00CB6CF0" w:rsidRDefault="007901D6" w:rsidP="007901D6"/>
    <w:p w:rsidR="007901D6" w:rsidRPr="00D80A91" w:rsidRDefault="007901D6" w:rsidP="007901D6">
      <w:pPr>
        <w:pBdr>
          <w:bottom w:val="single" w:sz="4" w:space="1" w:color="auto"/>
        </w:pBdr>
        <w:spacing w:after="120"/>
        <w:rPr>
          <w:b/>
          <w:sz w:val="32"/>
          <w:szCs w:val="32"/>
        </w:rPr>
      </w:pPr>
      <w:r w:rsidRPr="005B72F6">
        <w:rPr>
          <w:rStyle w:val="SCL-DocNumberChar"/>
        </w:rPr>
        <w:t>Document Number</w:t>
      </w:r>
      <w:r>
        <w:rPr>
          <w:b/>
          <w:sz w:val="32"/>
          <w:szCs w:val="32"/>
        </w:rPr>
        <w:t xml:space="preserve"> –</w:t>
      </w:r>
      <w:r w:rsidR="00C85DEE">
        <w:rPr>
          <w:rStyle w:val="SCL-DocNumberChar"/>
        </w:rPr>
        <w:t>GOV-POL-36</w:t>
      </w:r>
    </w:p>
    <w:p w:rsidR="007901D6" w:rsidRPr="00D73CD6" w:rsidRDefault="007901D6" w:rsidP="007901D6">
      <w:pPr>
        <w:pStyle w:val="HelpTextTemplateOnly"/>
        <w:shd w:val="clear" w:color="auto" w:fill="auto"/>
        <w:jc w:val="left"/>
        <w:rPr>
          <w:rFonts w:cs="Arial"/>
          <w:b/>
          <w:i/>
          <w:color w:val="0070C0"/>
        </w:rPr>
      </w:pPr>
    </w:p>
    <w:p w:rsidR="007901D6" w:rsidRPr="00B448BA" w:rsidRDefault="007901D6" w:rsidP="00B448BA">
      <w:pPr>
        <w:pStyle w:val="SCL-Heading1"/>
      </w:pPr>
      <w:r w:rsidRPr="00B448BA">
        <w:t>Policy Statement</w:t>
      </w:r>
    </w:p>
    <w:p w:rsidR="004016EF" w:rsidRPr="00B448BA" w:rsidRDefault="004016EF" w:rsidP="00B448BA">
      <w:pPr>
        <w:spacing w:after="120"/>
        <w:ind w:left="720"/>
        <w:jc w:val="both"/>
        <w:rPr>
          <w:rFonts w:cs="Arial"/>
        </w:rPr>
      </w:pPr>
      <w:r w:rsidRPr="00B448BA">
        <w:rPr>
          <w:rFonts w:cs="Arial"/>
        </w:rPr>
        <w:t xml:space="preserve">Stanwell will observe its obligations under all laws and regulations that are applicable to its business and is committed to creating and supporting a workplace culture that promotes fair and just ethical standards, as set out in the Stanwell </w:t>
      </w:r>
      <w:r w:rsidR="00EA550A" w:rsidRPr="00B448BA">
        <w:rPr>
          <w:rFonts w:cs="Arial"/>
        </w:rPr>
        <w:t>Corporation Limited’s (</w:t>
      </w:r>
      <w:r w:rsidR="00EA550A" w:rsidRPr="00B448BA">
        <w:rPr>
          <w:rFonts w:cs="Arial"/>
          <w:b/>
        </w:rPr>
        <w:t>Stanwell</w:t>
      </w:r>
      <w:r w:rsidR="00EA550A" w:rsidRPr="00B448BA">
        <w:rPr>
          <w:rFonts w:cs="Arial"/>
        </w:rPr>
        <w:t xml:space="preserve">) </w:t>
      </w:r>
      <w:r w:rsidRPr="00B448BA">
        <w:rPr>
          <w:rFonts w:cs="Arial"/>
          <w:i/>
        </w:rPr>
        <w:t>Code of Conduct</w:t>
      </w:r>
      <w:r w:rsidRPr="00B448BA">
        <w:rPr>
          <w:rFonts w:cs="Arial"/>
        </w:rPr>
        <w:t>.</w:t>
      </w:r>
    </w:p>
    <w:p w:rsidR="004016EF" w:rsidRPr="00B448BA" w:rsidRDefault="004016EF" w:rsidP="00B448BA">
      <w:pPr>
        <w:spacing w:after="120"/>
        <w:ind w:left="720"/>
        <w:jc w:val="both"/>
        <w:rPr>
          <w:rFonts w:cs="Arial"/>
        </w:rPr>
      </w:pPr>
      <w:r w:rsidRPr="00B448BA">
        <w:rPr>
          <w:rFonts w:cs="Arial"/>
        </w:rPr>
        <w:t xml:space="preserve">The </w:t>
      </w:r>
      <w:r w:rsidRPr="00B448BA">
        <w:rPr>
          <w:rFonts w:cs="Arial"/>
          <w:i/>
        </w:rPr>
        <w:t>Management of Public Official Complaints Policy</w:t>
      </w:r>
      <w:r w:rsidRPr="00B448BA">
        <w:rPr>
          <w:rFonts w:cs="Arial"/>
        </w:rPr>
        <w:t xml:space="preserve"> is intended to support this workplace culture by providing a framework for the management of</w:t>
      </w:r>
      <w:r w:rsidR="00805B2D" w:rsidRPr="00B448BA">
        <w:rPr>
          <w:rFonts w:cs="Arial"/>
        </w:rPr>
        <w:t xml:space="preserve"> a</w:t>
      </w:r>
      <w:r w:rsidRPr="00B448BA">
        <w:rPr>
          <w:rFonts w:cs="Arial"/>
        </w:rPr>
        <w:t xml:space="preserve"> </w:t>
      </w:r>
      <w:r w:rsidR="0077264C" w:rsidRPr="00B448BA">
        <w:rPr>
          <w:rFonts w:cs="Arial"/>
        </w:rPr>
        <w:t>c</w:t>
      </w:r>
      <w:r w:rsidR="00805B2D" w:rsidRPr="00B448BA">
        <w:rPr>
          <w:rFonts w:cs="Arial"/>
        </w:rPr>
        <w:t>omplaint that involves or may involve</w:t>
      </w:r>
      <w:r w:rsidR="001E26E8" w:rsidRPr="00B448BA">
        <w:rPr>
          <w:rFonts w:cs="Arial"/>
        </w:rPr>
        <w:t xml:space="preserve"> </w:t>
      </w:r>
      <w:r w:rsidRPr="00B448BA">
        <w:rPr>
          <w:rFonts w:cs="Arial"/>
        </w:rPr>
        <w:t>corrupt conduct allegedly committed by our Public Official</w:t>
      </w:r>
      <w:r w:rsidR="00EA550A" w:rsidRPr="00B448BA">
        <w:rPr>
          <w:rFonts w:cs="Arial"/>
        </w:rPr>
        <w:t xml:space="preserve"> (the Chief Executive Officer)</w:t>
      </w:r>
      <w:r w:rsidRPr="00B448BA">
        <w:rPr>
          <w:rFonts w:cs="Arial"/>
        </w:rPr>
        <w:t xml:space="preserve">.  </w:t>
      </w:r>
    </w:p>
    <w:p w:rsidR="00EA550A" w:rsidRPr="00B448BA" w:rsidRDefault="00EA550A" w:rsidP="00B448BA">
      <w:pPr>
        <w:pStyle w:val="SCL-ContentText"/>
        <w:spacing w:after="120"/>
      </w:pPr>
      <w:r w:rsidRPr="00B448BA">
        <w:t>This Policy will assist Stanwell to:</w:t>
      </w:r>
    </w:p>
    <w:p w:rsidR="00EA550A" w:rsidRPr="00B448BA" w:rsidRDefault="0077264C" w:rsidP="00EA550A">
      <w:pPr>
        <w:pStyle w:val="SCL-ContentText"/>
        <w:numPr>
          <w:ilvl w:val="0"/>
          <w:numId w:val="5"/>
        </w:numPr>
      </w:pPr>
      <w:r w:rsidRPr="00B448BA">
        <w:t>c</w:t>
      </w:r>
      <w:r w:rsidR="00EA550A" w:rsidRPr="00B448BA">
        <w:t>omply with S</w:t>
      </w:r>
      <w:r w:rsidR="00DC12FC" w:rsidRPr="00B448BA">
        <w:t xml:space="preserve">ection </w:t>
      </w:r>
      <w:r w:rsidR="00EA550A" w:rsidRPr="00B448BA">
        <w:t xml:space="preserve">48A of the </w:t>
      </w:r>
      <w:r w:rsidR="00EA550A" w:rsidRPr="00B448BA">
        <w:rPr>
          <w:i/>
        </w:rPr>
        <w:t>Crime and Corruption Act 2001</w:t>
      </w:r>
      <w:r w:rsidR="00EA550A" w:rsidRPr="00B448BA">
        <w:t xml:space="preserve"> </w:t>
      </w:r>
      <w:r w:rsidR="00C67C49" w:rsidRPr="00B448BA">
        <w:t xml:space="preserve">(Qld) </w:t>
      </w:r>
      <w:r w:rsidR="00EA550A" w:rsidRPr="00B448BA">
        <w:t>(</w:t>
      </w:r>
      <w:r w:rsidR="00EA550A" w:rsidRPr="00B448BA">
        <w:rPr>
          <w:b/>
        </w:rPr>
        <w:t>CC</w:t>
      </w:r>
      <w:r w:rsidR="00F10515" w:rsidRPr="00B448BA">
        <w:rPr>
          <w:b/>
        </w:rPr>
        <w:t xml:space="preserve"> </w:t>
      </w:r>
      <w:r w:rsidR="00EA550A" w:rsidRPr="00B448BA">
        <w:rPr>
          <w:b/>
        </w:rPr>
        <w:t>Act</w:t>
      </w:r>
      <w:r w:rsidR="00EA550A" w:rsidRPr="00B448BA">
        <w:t>);</w:t>
      </w:r>
    </w:p>
    <w:p w:rsidR="00EA550A" w:rsidRPr="00B448BA" w:rsidRDefault="0077264C" w:rsidP="00EA550A">
      <w:pPr>
        <w:pStyle w:val="SCL-ContentText"/>
        <w:numPr>
          <w:ilvl w:val="0"/>
          <w:numId w:val="5"/>
        </w:numPr>
      </w:pPr>
      <w:r w:rsidRPr="00B448BA">
        <w:t>p</w:t>
      </w:r>
      <w:r w:rsidR="00EA550A" w:rsidRPr="00B448BA">
        <w:t xml:space="preserve">romote public confidence in the way </w:t>
      </w:r>
      <w:r w:rsidR="00C67C49" w:rsidRPr="00B448BA">
        <w:t xml:space="preserve">reasonably </w:t>
      </w:r>
      <w:r w:rsidR="00EA550A" w:rsidRPr="00B448BA">
        <w:t xml:space="preserve">suspected corrupt conduct </w:t>
      </w:r>
      <w:r w:rsidR="005F1163" w:rsidRPr="00B448BA">
        <w:t xml:space="preserve">by </w:t>
      </w:r>
      <w:r w:rsidR="00EA550A" w:rsidRPr="00B448BA">
        <w:t>Stanwell’s Public Official is dealt with under section 34(c) of the CC Act; and</w:t>
      </w:r>
    </w:p>
    <w:p w:rsidR="00EA550A" w:rsidRPr="00B448BA" w:rsidRDefault="0077264C" w:rsidP="00EA550A">
      <w:pPr>
        <w:pStyle w:val="SCL-ContentText"/>
        <w:numPr>
          <w:ilvl w:val="0"/>
          <w:numId w:val="5"/>
        </w:numPr>
      </w:pPr>
      <w:r w:rsidRPr="00B448BA">
        <w:t>p</w:t>
      </w:r>
      <w:r w:rsidR="00EA550A" w:rsidRPr="00B448BA">
        <w:t xml:space="preserve">romote accountability, integrity and transparency in the way Stanwell deals with a complaint that is suspected to involve, or may involve, corrupt conduct </w:t>
      </w:r>
      <w:r w:rsidR="00064016" w:rsidRPr="00B448BA">
        <w:t>by</w:t>
      </w:r>
      <w:r w:rsidR="00EA550A" w:rsidRPr="00B448BA">
        <w:t xml:space="preserve"> the Public Official.</w:t>
      </w:r>
    </w:p>
    <w:p w:rsidR="007901D6" w:rsidRPr="00B531DB" w:rsidRDefault="007901D6" w:rsidP="00B448BA">
      <w:pPr>
        <w:pStyle w:val="SCL-Heading1"/>
      </w:pPr>
      <w:r>
        <w:t>Purpose/</w:t>
      </w:r>
      <w:r w:rsidRPr="00B531DB">
        <w:t>Scope</w:t>
      </w:r>
    </w:p>
    <w:p w:rsidR="007901D6" w:rsidRPr="00B448BA" w:rsidRDefault="004016EF" w:rsidP="00B448BA">
      <w:pPr>
        <w:pStyle w:val="SCL-ContentText"/>
        <w:spacing w:after="120"/>
      </w:pPr>
      <w:r w:rsidRPr="00B448BA">
        <w:t xml:space="preserve">The purpose of this Policy is to set out how Stanwell will </w:t>
      </w:r>
      <w:r w:rsidR="00805B2D" w:rsidRPr="00B448BA">
        <w:t>manage</w:t>
      </w:r>
      <w:r w:rsidRPr="00B448BA">
        <w:t xml:space="preserve"> a complaint that involves or may involve corrupt conduct allegedly committed by its Public Official as defined by the </w:t>
      </w:r>
      <w:r w:rsidR="00C67C49" w:rsidRPr="00B448BA">
        <w:t>CC</w:t>
      </w:r>
      <w:r w:rsidR="00064016" w:rsidRPr="00B448BA">
        <w:t xml:space="preserve"> Act.</w:t>
      </w:r>
    </w:p>
    <w:p w:rsidR="00EA550A" w:rsidRPr="00B448BA" w:rsidRDefault="00EA550A" w:rsidP="00B448BA">
      <w:pPr>
        <w:pStyle w:val="SCL-ContentText"/>
        <w:spacing w:after="120"/>
      </w:pPr>
      <w:r w:rsidRPr="00B448BA">
        <w:t>For the purposes of this Policy</w:t>
      </w:r>
      <w:r w:rsidR="00B928F2" w:rsidRPr="00B448BA">
        <w:t>,</w:t>
      </w:r>
      <w:r w:rsidRPr="00B448BA">
        <w:t xml:space="preserve"> </w:t>
      </w:r>
      <w:r w:rsidR="00C46466" w:rsidRPr="00B448BA">
        <w:t>a complaint includes information or matter.</w:t>
      </w:r>
    </w:p>
    <w:p w:rsidR="007901D6" w:rsidRDefault="007901D6" w:rsidP="00B448BA">
      <w:pPr>
        <w:pStyle w:val="SCL-Heading1"/>
      </w:pPr>
      <w:r w:rsidRPr="00B531DB">
        <w:t>Content</w:t>
      </w:r>
      <w:r>
        <w:t xml:space="preserve"> </w:t>
      </w:r>
    </w:p>
    <w:p w:rsidR="00EA550A" w:rsidRPr="00B448BA" w:rsidRDefault="00EA550A" w:rsidP="00B448BA">
      <w:pPr>
        <w:pStyle w:val="SCL-Heading2"/>
      </w:pPr>
      <w:r w:rsidRPr="00B448BA">
        <w:t>3.1</w:t>
      </w:r>
      <w:r w:rsidR="00B448BA" w:rsidRPr="00B448BA">
        <w:tab/>
      </w:r>
      <w:r w:rsidR="00BA7AE2" w:rsidRPr="00B448BA">
        <w:t>Nominated Person</w:t>
      </w:r>
      <w:r w:rsidRPr="00B448BA">
        <w:t xml:space="preserve"> </w:t>
      </w:r>
    </w:p>
    <w:p w:rsidR="00F10515" w:rsidRPr="00B448BA" w:rsidRDefault="00F10515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>Having</w:t>
      </w:r>
      <w:r w:rsidR="00B928F2" w:rsidRPr="00B448BA">
        <w:rPr>
          <w:rFonts w:cs="Arial"/>
        </w:rPr>
        <w:t xml:space="preserve"> regard to Section </w:t>
      </w:r>
      <w:r w:rsidRPr="00B448BA">
        <w:rPr>
          <w:rFonts w:cs="Arial"/>
        </w:rPr>
        <w:t xml:space="preserve">48A(2) of the CC Act, </w:t>
      </w:r>
      <w:r w:rsidR="00FA1C22" w:rsidRPr="00B448BA">
        <w:rPr>
          <w:rFonts w:cs="Arial"/>
        </w:rPr>
        <w:t>Stanwell</w:t>
      </w:r>
      <w:r w:rsidRPr="00B448BA">
        <w:rPr>
          <w:rFonts w:cs="Arial"/>
        </w:rPr>
        <w:t xml:space="preserve"> nominates</w:t>
      </w:r>
      <w:r w:rsidR="00FA1C22" w:rsidRPr="00B448BA">
        <w:rPr>
          <w:rFonts w:cs="Arial"/>
        </w:rPr>
        <w:t xml:space="preserve"> </w:t>
      </w:r>
      <w:r w:rsidRPr="00B448BA">
        <w:rPr>
          <w:rFonts w:cs="Arial"/>
        </w:rPr>
        <w:t xml:space="preserve">the </w:t>
      </w:r>
      <w:r w:rsidRPr="00B448BA">
        <w:rPr>
          <w:rFonts w:cs="Arial"/>
          <w:b/>
        </w:rPr>
        <w:t>Executive General Manager Business Services</w:t>
      </w:r>
      <w:r w:rsidRPr="00B448BA">
        <w:rPr>
          <w:rFonts w:cs="Arial"/>
        </w:rPr>
        <w:t xml:space="preserve"> </w:t>
      </w:r>
      <w:r w:rsidR="00B928F2" w:rsidRPr="00B448BA">
        <w:rPr>
          <w:rFonts w:cs="Arial"/>
        </w:rPr>
        <w:t xml:space="preserve">(or in his or her absence or if the complaint </w:t>
      </w:r>
      <w:r w:rsidR="004B1602" w:rsidRPr="00B448BA">
        <w:rPr>
          <w:rFonts w:cs="Arial"/>
        </w:rPr>
        <w:t>involves</w:t>
      </w:r>
      <w:r w:rsidR="00B928F2" w:rsidRPr="00B448BA">
        <w:rPr>
          <w:rFonts w:cs="Arial"/>
        </w:rPr>
        <w:t xml:space="preserve"> the Executive General Manager Business Services, the </w:t>
      </w:r>
      <w:r w:rsidR="00BA7AE2" w:rsidRPr="00B448BA">
        <w:rPr>
          <w:rFonts w:cs="Arial"/>
          <w:b/>
        </w:rPr>
        <w:t>Company Secretary</w:t>
      </w:r>
      <w:r w:rsidR="00B928F2" w:rsidRPr="00B448BA">
        <w:rPr>
          <w:rFonts w:cs="Arial"/>
          <w:b/>
        </w:rPr>
        <w:t>)</w:t>
      </w:r>
      <w:r w:rsidR="00BA7AE2" w:rsidRPr="00B448BA">
        <w:rPr>
          <w:rFonts w:cs="Arial"/>
        </w:rPr>
        <w:t xml:space="preserve">, </w:t>
      </w:r>
      <w:r w:rsidRPr="00B448BA">
        <w:rPr>
          <w:rFonts w:cs="Arial"/>
        </w:rPr>
        <w:t xml:space="preserve">as the </w:t>
      </w:r>
      <w:r w:rsidR="00BA7AE2" w:rsidRPr="00B448BA">
        <w:rPr>
          <w:rFonts w:cs="Arial"/>
        </w:rPr>
        <w:t>Nominated Person</w:t>
      </w:r>
      <w:r w:rsidR="00FA1C22" w:rsidRPr="00B448BA">
        <w:rPr>
          <w:rFonts w:cs="Arial"/>
        </w:rPr>
        <w:t xml:space="preserve"> </w:t>
      </w:r>
      <w:r w:rsidRPr="00B448BA">
        <w:rPr>
          <w:rFonts w:cs="Arial"/>
        </w:rPr>
        <w:t>to notify the Crime and Corruption Commission (</w:t>
      </w:r>
      <w:r w:rsidRPr="00B448BA">
        <w:rPr>
          <w:rFonts w:cs="Arial"/>
          <w:b/>
        </w:rPr>
        <w:t>CCC</w:t>
      </w:r>
      <w:r w:rsidRPr="00B448BA">
        <w:rPr>
          <w:rFonts w:cs="Arial"/>
        </w:rPr>
        <w:t>) of the complaint and to deal with the complaint under the CC Act</w:t>
      </w:r>
      <w:r w:rsidR="00FA1C22" w:rsidRPr="00B448BA">
        <w:rPr>
          <w:rFonts w:cs="Arial"/>
        </w:rPr>
        <w:t>.</w:t>
      </w:r>
    </w:p>
    <w:p w:rsidR="00FA1C22" w:rsidRPr="00B448BA" w:rsidRDefault="00FA1C22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 xml:space="preserve">Having </w:t>
      </w:r>
      <w:r w:rsidR="00C55C98" w:rsidRPr="00B448BA">
        <w:rPr>
          <w:rFonts w:cs="Arial"/>
        </w:rPr>
        <w:t>appointed</w:t>
      </w:r>
      <w:r w:rsidRPr="00B448BA">
        <w:rPr>
          <w:rFonts w:cs="Arial"/>
        </w:rPr>
        <w:t xml:space="preserve"> </w:t>
      </w:r>
      <w:r w:rsidR="00752D66" w:rsidRPr="00B448BA">
        <w:rPr>
          <w:rFonts w:cs="Arial"/>
        </w:rPr>
        <w:t>a</w:t>
      </w:r>
      <w:r w:rsidRPr="00B448BA">
        <w:rPr>
          <w:rFonts w:cs="Arial"/>
        </w:rPr>
        <w:t xml:space="preserve"> </w:t>
      </w:r>
      <w:r w:rsidR="00BA7AE2" w:rsidRPr="00B448BA">
        <w:rPr>
          <w:rFonts w:cs="Arial"/>
        </w:rPr>
        <w:t>Nominated Person</w:t>
      </w:r>
      <w:r w:rsidRPr="00B448BA">
        <w:rPr>
          <w:rFonts w:cs="Arial"/>
        </w:rPr>
        <w:t xml:space="preserve">, the CC Act applies </w:t>
      </w:r>
      <w:r w:rsidR="002F1B1A" w:rsidRPr="00B448BA">
        <w:rPr>
          <w:rFonts w:cs="Arial"/>
        </w:rPr>
        <w:t xml:space="preserve">as </w:t>
      </w:r>
      <w:r w:rsidR="00C67C49" w:rsidRPr="00B448BA">
        <w:rPr>
          <w:rFonts w:cs="Arial"/>
        </w:rPr>
        <w:t xml:space="preserve">if </w:t>
      </w:r>
      <w:r w:rsidR="002F1B1A" w:rsidRPr="00B448BA">
        <w:rPr>
          <w:rFonts w:cs="Arial"/>
        </w:rPr>
        <w:t xml:space="preserve">a </w:t>
      </w:r>
      <w:r w:rsidRPr="00B448BA">
        <w:rPr>
          <w:rFonts w:cs="Arial"/>
        </w:rPr>
        <w:t xml:space="preserve">reference </w:t>
      </w:r>
      <w:r w:rsidR="002F1B1A" w:rsidRPr="00B448BA">
        <w:rPr>
          <w:rFonts w:cs="Arial"/>
        </w:rPr>
        <w:t>to</w:t>
      </w:r>
      <w:r w:rsidRPr="00B448BA">
        <w:rPr>
          <w:rFonts w:cs="Arial"/>
        </w:rPr>
        <w:t xml:space="preserve"> </w:t>
      </w:r>
      <w:r w:rsidR="00C67C49" w:rsidRPr="00B448BA">
        <w:rPr>
          <w:rFonts w:cs="Arial"/>
        </w:rPr>
        <w:t xml:space="preserve">the Public Official </w:t>
      </w:r>
      <w:r w:rsidRPr="00B448BA">
        <w:rPr>
          <w:rFonts w:cs="Arial"/>
        </w:rPr>
        <w:t>notifying or dealing with the complaint is a reference to</w:t>
      </w:r>
      <w:r w:rsidR="003453D0" w:rsidRPr="00B448BA">
        <w:rPr>
          <w:rFonts w:cs="Arial"/>
        </w:rPr>
        <w:t xml:space="preserve"> </w:t>
      </w:r>
      <w:r w:rsidR="00901EB1" w:rsidRPr="00B448BA">
        <w:rPr>
          <w:rFonts w:cs="Arial"/>
        </w:rPr>
        <w:t xml:space="preserve">the Nominated Person </w:t>
      </w:r>
      <w:r w:rsidR="003453D0" w:rsidRPr="00B448BA">
        <w:rPr>
          <w:rFonts w:cs="Arial"/>
        </w:rPr>
        <w:t xml:space="preserve">notifying and dealing with </w:t>
      </w:r>
      <w:r w:rsidRPr="00B448BA">
        <w:rPr>
          <w:rFonts w:cs="Arial"/>
        </w:rPr>
        <w:t xml:space="preserve">the </w:t>
      </w:r>
      <w:r w:rsidR="003453D0" w:rsidRPr="00B448BA">
        <w:rPr>
          <w:rFonts w:cs="Arial"/>
        </w:rPr>
        <w:t>complaint</w:t>
      </w:r>
      <w:r w:rsidRPr="00B448BA">
        <w:rPr>
          <w:rFonts w:cs="Arial"/>
        </w:rPr>
        <w:t>.</w:t>
      </w:r>
    </w:p>
    <w:p w:rsidR="00B448BA" w:rsidRDefault="00B448BA" w:rsidP="00B448BA">
      <w:pPr>
        <w:pStyle w:val="SCL-Heading2"/>
      </w:pPr>
      <w:r>
        <w:br w:type="page"/>
      </w:r>
    </w:p>
    <w:p w:rsidR="00EA550A" w:rsidRDefault="00B448BA" w:rsidP="00B448BA">
      <w:pPr>
        <w:pStyle w:val="SCL-Heading2"/>
      </w:pPr>
      <w:r>
        <w:t>3.2</w:t>
      </w:r>
      <w:r>
        <w:tab/>
      </w:r>
      <w:r w:rsidR="002F1B1A" w:rsidRPr="002F1B1A">
        <w:t xml:space="preserve">Complaints </w:t>
      </w:r>
      <w:r w:rsidR="00484601">
        <w:t xml:space="preserve">made </w:t>
      </w:r>
      <w:r w:rsidR="00A95D32">
        <w:t>about the</w:t>
      </w:r>
      <w:r w:rsidR="002F1B1A" w:rsidRPr="002F1B1A">
        <w:t xml:space="preserve"> Public Official </w:t>
      </w:r>
    </w:p>
    <w:p w:rsidR="0082295E" w:rsidRPr="00B448BA" w:rsidRDefault="002F1B1A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>If a complaint is made that</w:t>
      </w:r>
      <w:r w:rsidR="0082295E" w:rsidRPr="00B448BA">
        <w:rPr>
          <w:rFonts w:cs="Arial"/>
        </w:rPr>
        <w:t xml:space="preserve"> involves or </w:t>
      </w:r>
      <w:r w:rsidRPr="00B448BA">
        <w:rPr>
          <w:rFonts w:cs="Arial"/>
        </w:rPr>
        <w:t xml:space="preserve">may involve corrupt conduct </w:t>
      </w:r>
      <w:r w:rsidR="0082295E" w:rsidRPr="00B448BA">
        <w:rPr>
          <w:rFonts w:cs="Arial"/>
        </w:rPr>
        <w:t xml:space="preserve">by Stanwell’s </w:t>
      </w:r>
      <w:r w:rsidRPr="00B448BA">
        <w:rPr>
          <w:rFonts w:cs="Arial"/>
        </w:rPr>
        <w:t xml:space="preserve">Public Official, the complaint </w:t>
      </w:r>
      <w:r w:rsidR="00901EB1" w:rsidRPr="00B448BA">
        <w:rPr>
          <w:rFonts w:cs="Arial"/>
        </w:rPr>
        <w:t xml:space="preserve">must </w:t>
      </w:r>
      <w:r w:rsidRPr="00B448BA">
        <w:rPr>
          <w:rFonts w:cs="Arial"/>
        </w:rPr>
        <w:t>be reported to:</w:t>
      </w:r>
    </w:p>
    <w:p w:rsidR="0082295E" w:rsidRPr="00B448BA" w:rsidRDefault="007F32B9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t</w:t>
      </w:r>
      <w:r w:rsidR="0082295E" w:rsidRPr="00B448BA">
        <w:rPr>
          <w:rFonts w:ascii="Arial" w:hAnsi="Arial" w:cs="Arial"/>
          <w:sz w:val="20"/>
          <w:szCs w:val="20"/>
        </w:rPr>
        <w:t>he Executive Gen</w:t>
      </w:r>
      <w:r w:rsidR="00BA7AE2" w:rsidRPr="00B448BA">
        <w:rPr>
          <w:rFonts w:ascii="Arial" w:hAnsi="Arial" w:cs="Arial"/>
          <w:sz w:val="20"/>
          <w:szCs w:val="20"/>
        </w:rPr>
        <w:t xml:space="preserve">eral Manager Business Services </w:t>
      </w:r>
      <w:r w:rsidR="00B928F2" w:rsidRPr="00B448BA">
        <w:rPr>
          <w:rFonts w:ascii="Arial" w:hAnsi="Arial" w:cs="Arial"/>
          <w:sz w:val="20"/>
          <w:szCs w:val="20"/>
        </w:rPr>
        <w:t xml:space="preserve">(or in his or her absence or if the complaint </w:t>
      </w:r>
      <w:r w:rsidR="000E7225" w:rsidRPr="00B448BA">
        <w:rPr>
          <w:rFonts w:ascii="Arial" w:hAnsi="Arial" w:cs="Arial"/>
          <w:sz w:val="20"/>
          <w:szCs w:val="20"/>
        </w:rPr>
        <w:t xml:space="preserve">also </w:t>
      </w:r>
      <w:r w:rsidR="004B1602" w:rsidRPr="00B448BA">
        <w:rPr>
          <w:rFonts w:ascii="Arial" w:hAnsi="Arial" w:cs="Arial"/>
          <w:sz w:val="20"/>
          <w:szCs w:val="20"/>
        </w:rPr>
        <w:t>involves</w:t>
      </w:r>
      <w:r w:rsidR="00B928F2" w:rsidRPr="00B448BA">
        <w:rPr>
          <w:rFonts w:ascii="Arial" w:hAnsi="Arial" w:cs="Arial"/>
          <w:sz w:val="20"/>
          <w:szCs w:val="20"/>
        </w:rPr>
        <w:t xml:space="preserve"> the Executive General Manager Business Services, </w:t>
      </w:r>
      <w:r w:rsidR="00BA7AE2" w:rsidRPr="00B448BA">
        <w:rPr>
          <w:rFonts w:ascii="Arial" w:hAnsi="Arial" w:cs="Arial"/>
          <w:sz w:val="20"/>
          <w:szCs w:val="20"/>
        </w:rPr>
        <w:t>the Company Secretary</w:t>
      </w:r>
      <w:r w:rsidR="00B928F2" w:rsidRPr="00B448BA">
        <w:rPr>
          <w:rFonts w:ascii="Arial" w:hAnsi="Arial" w:cs="Arial"/>
          <w:sz w:val="20"/>
          <w:szCs w:val="20"/>
        </w:rPr>
        <w:t>)</w:t>
      </w:r>
      <w:r w:rsidR="00BA7AE2" w:rsidRPr="00B448BA">
        <w:rPr>
          <w:rFonts w:ascii="Arial" w:hAnsi="Arial" w:cs="Arial"/>
          <w:sz w:val="20"/>
          <w:szCs w:val="20"/>
        </w:rPr>
        <w:t>;</w:t>
      </w:r>
    </w:p>
    <w:p w:rsidR="0082295E" w:rsidRPr="00B448BA" w:rsidRDefault="00805B2D" w:rsidP="00B448BA">
      <w:pPr>
        <w:pStyle w:val="ListParagraph"/>
        <w:numPr>
          <w:ilvl w:val="0"/>
          <w:numId w:val="6"/>
        </w:numPr>
        <w:ind w:left="1440"/>
        <w:rPr>
          <w:rFonts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i</w:t>
      </w:r>
      <w:r w:rsidR="00B928F2" w:rsidRPr="00B448BA">
        <w:rPr>
          <w:rFonts w:ascii="Arial" w:hAnsi="Arial" w:cs="Arial"/>
          <w:sz w:val="20"/>
          <w:szCs w:val="20"/>
        </w:rPr>
        <w:t xml:space="preserve">f </w:t>
      </w:r>
      <w:r w:rsidR="00A95D32" w:rsidRPr="00B448BA">
        <w:rPr>
          <w:rFonts w:ascii="Arial" w:hAnsi="Arial" w:cs="Arial"/>
          <w:sz w:val="20"/>
          <w:szCs w:val="20"/>
        </w:rPr>
        <w:t xml:space="preserve">the complaint is made by an employee, contractor or director of Stanwell, </w:t>
      </w:r>
      <w:r w:rsidR="00125FCD" w:rsidRPr="00B448BA">
        <w:rPr>
          <w:rFonts w:ascii="Arial" w:hAnsi="Arial" w:cs="Arial"/>
          <w:sz w:val="20"/>
          <w:szCs w:val="20"/>
        </w:rPr>
        <w:t>t</w:t>
      </w:r>
      <w:r w:rsidR="0082295E" w:rsidRPr="00B448BA">
        <w:rPr>
          <w:rFonts w:ascii="Arial" w:hAnsi="Arial" w:cs="Arial"/>
          <w:sz w:val="20"/>
          <w:szCs w:val="20"/>
        </w:rPr>
        <w:t>he Whistle</w:t>
      </w:r>
      <w:r w:rsidR="00283783" w:rsidRPr="00B448BA">
        <w:rPr>
          <w:rFonts w:ascii="Arial" w:hAnsi="Arial" w:cs="Arial"/>
          <w:sz w:val="20"/>
          <w:szCs w:val="20"/>
        </w:rPr>
        <w:t>-</w:t>
      </w:r>
      <w:r w:rsidR="0082295E" w:rsidRPr="00B448BA">
        <w:rPr>
          <w:rFonts w:ascii="Arial" w:hAnsi="Arial" w:cs="Arial"/>
          <w:sz w:val="20"/>
          <w:szCs w:val="20"/>
        </w:rPr>
        <w:t xml:space="preserve">blower Protection Officer </w:t>
      </w:r>
      <w:r w:rsidR="00901EB1" w:rsidRPr="00B448BA">
        <w:rPr>
          <w:rFonts w:ascii="Arial" w:hAnsi="Arial" w:cs="Arial"/>
          <w:sz w:val="20"/>
          <w:szCs w:val="20"/>
        </w:rPr>
        <w:t>(</w:t>
      </w:r>
      <w:r w:rsidR="00A95D32" w:rsidRPr="00B448BA">
        <w:rPr>
          <w:rFonts w:ascii="Arial" w:hAnsi="Arial" w:cs="Arial"/>
          <w:sz w:val="20"/>
          <w:szCs w:val="20"/>
        </w:rPr>
        <w:t xml:space="preserve">who will manage the complaint </w:t>
      </w:r>
      <w:r w:rsidR="00B928F2" w:rsidRPr="00B448BA">
        <w:rPr>
          <w:rFonts w:ascii="Arial" w:hAnsi="Arial" w:cs="Arial"/>
          <w:sz w:val="20"/>
          <w:szCs w:val="20"/>
        </w:rPr>
        <w:t>under the direction of</w:t>
      </w:r>
      <w:r w:rsidR="00A95D32" w:rsidRPr="00B448BA">
        <w:rPr>
          <w:rFonts w:ascii="Arial" w:hAnsi="Arial" w:cs="Arial"/>
          <w:sz w:val="20"/>
          <w:szCs w:val="20"/>
        </w:rPr>
        <w:t xml:space="preserve"> the </w:t>
      </w:r>
      <w:r w:rsidR="00BA7AE2" w:rsidRPr="00B448BA">
        <w:rPr>
          <w:rFonts w:ascii="Arial" w:hAnsi="Arial" w:cs="Arial"/>
          <w:sz w:val="20"/>
          <w:szCs w:val="20"/>
        </w:rPr>
        <w:t>Nominated Person</w:t>
      </w:r>
      <w:r w:rsidR="00901EB1" w:rsidRPr="00B448BA">
        <w:rPr>
          <w:rFonts w:ascii="Arial" w:hAnsi="Arial" w:cs="Arial"/>
          <w:sz w:val="20"/>
          <w:szCs w:val="20"/>
        </w:rPr>
        <w:t>)</w:t>
      </w:r>
      <w:r w:rsidR="00A95D32" w:rsidRPr="00B448BA">
        <w:rPr>
          <w:rFonts w:ascii="Arial" w:hAnsi="Arial" w:cs="Arial"/>
          <w:sz w:val="20"/>
          <w:szCs w:val="20"/>
        </w:rPr>
        <w:t xml:space="preserve"> in accordance with Stanwell’s Protected Disclosure Procedure GOV-POL-36</w:t>
      </w:r>
      <w:r w:rsidR="00A95D32" w:rsidRPr="00B448BA">
        <w:rPr>
          <w:rFonts w:cs="Arial"/>
          <w:sz w:val="20"/>
          <w:szCs w:val="20"/>
        </w:rPr>
        <w:t>.</w:t>
      </w:r>
    </w:p>
    <w:p w:rsidR="00A54075" w:rsidRPr="00B448BA" w:rsidRDefault="00A54075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>Below are the contact details for the Executive General Manager Business Services: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Phone:</w:t>
      </w:r>
      <w:r w:rsidRPr="00B448BA">
        <w:rPr>
          <w:rFonts w:cs="Arial"/>
        </w:rPr>
        <w:tab/>
        <w:t>(07) 3228 4397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Email:</w:t>
      </w:r>
      <w:r w:rsidRPr="00B448BA">
        <w:rPr>
          <w:rFonts w:cs="Arial"/>
        </w:rPr>
        <w:tab/>
      </w:r>
      <w:hyperlink r:id="rId8" w:history="1">
        <w:r w:rsidRPr="00B448BA">
          <w:rPr>
            <w:rStyle w:val="Hyperlink"/>
            <w:rFonts w:cs="Arial"/>
          </w:rPr>
          <w:t>jenny.gregg@stanwell.com</w:t>
        </w:r>
      </w:hyperlink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Mail:</w:t>
      </w:r>
      <w:r w:rsidRPr="00B448BA">
        <w:rPr>
          <w:rFonts w:cs="Arial"/>
        </w:rPr>
        <w:tab/>
        <w:t>The Executive General Manager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ab/>
        <w:t>Stanwell Corporation Limited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ab/>
        <w:t>GPO Box 800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ab/>
        <w:t>Brisbane Qld 4001</w:t>
      </w:r>
    </w:p>
    <w:p w:rsidR="00B448BA" w:rsidRPr="00B448BA" w:rsidRDefault="00B448BA" w:rsidP="00B448BA">
      <w:pPr>
        <w:spacing w:after="120"/>
        <w:ind w:left="902"/>
        <w:jc w:val="both"/>
        <w:rPr>
          <w:rFonts w:cs="Arial"/>
        </w:rPr>
      </w:pPr>
    </w:p>
    <w:p w:rsidR="00A54075" w:rsidRPr="00B448BA" w:rsidRDefault="00A54075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 xml:space="preserve">Below are the contact details for the </w:t>
      </w:r>
      <w:r w:rsidR="00752D66" w:rsidRPr="00B448BA">
        <w:rPr>
          <w:rFonts w:cs="Arial"/>
        </w:rPr>
        <w:t>Company Secretary</w:t>
      </w:r>
      <w:r w:rsidRPr="00B448BA">
        <w:rPr>
          <w:rFonts w:cs="Arial"/>
        </w:rPr>
        <w:t>:</w:t>
      </w:r>
    </w:p>
    <w:p w:rsidR="00A54075" w:rsidRPr="00B448BA" w:rsidRDefault="00A54075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Phone:</w:t>
      </w:r>
      <w:r w:rsidRPr="00B448BA">
        <w:rPr>
          <w:rFonts w:cs="Arial"/>
        </w:rPr>
        <w:tab/>
      </w:r>
      <w:r w:rsidR="00565D04" w:rsidRPr="00B448BA">
        <w:rPr>
          <w:rFonts w:cs="Arial"/>
        </w:rPr>
        <w:t>1800 671 902</w:t>
      </w:r>
    </w:p>
    <w:p w:rsidR="00565D04" w:rsidRPr="00B448BA" w:rsidRDefault="00565D04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Email:</w:t>
      </w:r>
      <w:r w:rsidRPr="00B448BA">
        <w:rPr>
          <w:rFonts w:cs="Arial"/>
        </w:rPr>
        <w:tab/>
      </w:r>
      <w:hyperlink r:id="rId9" w:history="1">
        <w:r w:rsidRPr="00B448BA">
          <w:rPr>
            <w:rStyle w:val="Hyperlink"/>
            <w:rFonts w:cs="Arial"/>
          </w:rPr>
          <w:t>company.secretary@stanwell.com</w:t>
        </w:r>
      </w:hyperlink>
    </w:p>
    <w:p w:rsidR="00565D04" w:rsidRPr="00B448BA" w:rsidRDefault="00565D04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>Mail:</w:t>
      </w:r>
      <w:r w:rsidRPr="00B448BA">
        <w:rPr>
          <w:rFonts w:cs="Arial"/>
        </w:rPr>
        <w:tab/>
        <w:t>Company Secretary</w:t>
      </w:r>
    </w:p>
    <w:p w:rsidR="00565D04" w:rsidRPr="00B448BA" w:rsidRDefault="00565D04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ab/>
        <w:t>GPO Box 800</w:t>
      </w:r>
    </w:p>
    <w:p w:rsidR="00565D04" w:rsidRPr="00B448BA" w:rsidRDefault="00565D04" w:rsidP="00B448BA">
      <w:pPr>
        <w:tabs>
          <w:tab w:val="left" w:pos="2160"/>
        </w:tabs>
        <w:ind w:left="1080"/>
        <w:rPr>
          <w:rFonts w:cs="Arial"/>
        </w:rPr>
      </w:pPr>
      <w:r w:rsidRPr="00B448BA">
        <w:rPr>
          <w:rFonts w:cs="Arial"/>
        </w:rPr>
        <w:tab/>
        <w:t>Brisbane QLD 4001</w:t>
      </w:r>
    </w:p>
    <w:p w:rsidR="00A95D32" w:rsidRPr="00221453" w:rsidRDefault="00221453" w:rsidP="00B448BA">
      <w:pPr>
        <w:pStyle w:val="SCL-Heading2"/>
      </w:pPr>
      <w:r w:rsidRPr="00221453">
        <w:t>3.3</w:t>
      </w:r>
      <w:r w:rsidR="00B448BA">
        <w:tab/>
      </w:r>
      <w:r w:rsidRPr="00221453">
        <w:t xml:space="preserve">Receiving a complaint </w:t>
      </w:r>
    </w:p>
    <w:p w:rsidR="00221453" w:rsidRPr="00B448BA" w:rsidRDefault="00221453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 xml:space="preserve">If the </w:t>
      </w:r>
      <w:r w:rsidR="00BA7AE2" w:rsidRPr="00B448BA">
        <w:rPr>
          <w:rFonts w:cs="Arial"/>
        </w:rPr>
        <w:t xml:space="preserve">Nominated Person </w:t>
      </w:r>
      <w:r w:rsidR="0038317B" w:rsidRPr="00B448BA">
        <w:rPr>
          <w:rFonts w:cs="Arial"/>
        </w:rPr>
        <w:t>receives a complaint and</w:t>
      </w:r>
      <w:r w:rsidR="0034160B" w:rsidRPr="00B448BA">
        <w:rPr>
          <w:rFonts w:cs="Arial"/>
        </w:rPr>
        <w:t xml:space="preserve"> </w:t>
      </w:r>
      <w:r w:rsidRPr="00B448BA">
        <w:rPr>
          <w:rFonts w:cs="Arial"/>
        </w:rPr>
        <w:t xml:space="preserve">reasonably suspects </w:t>
      </w:r>
      <w:r w:rsidR="0038317B" w:rsidRPr="00B448BA">
        <w:rPr>
          <w:rFonts w:cs="Arial"/>
        </w:rPr>
        <w:t>that the complaint</w:t>
      </w:r>
      <w:r w:rsidRPr="00B448BA">
        <w:rPr>
          <w:rFonts w:cs="Arial"/>
        </w:rPr>
        <w:t xml:space="preserve"> may involve corrupt conduct </w:t>
      </w:r>
      <w:r w:rsidR="00125FCD" w:rsidRPr="00B448BA">
        <w:rPr>
          <w:rFonts w:cs="Arial"/>
        </w:rPr>
        <w:t xml:space="preserve">by </w:t>
      </w:r>
      <w:r w:rsidRPr="00B448BA">
        <w:rPr>
          <w:rFonts w:cs="Arial"/>
        </w:rPr>
        <w:t>Stanwell’s Public Official, they are to:</w:t>
      </w:r>
    </w:p>
    <w:p w:rsidR="00221453" w:rsidRPr="00B448BA" w:rsidRDefault="007F32B9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n</w:t>
      </w:r>
      <w:r w:rsidR="00221453" w:rsidRPr="00B448BA">
        <w:rPr>
          <w:rFonts w:ascii="Arial" w:hAnsi="Arial" w:cs="Arial"/>
          <w:sz w:val="20"/>
          <w:szCs w:val="20"/>
        </w:rPr>
        <w:t>otify the CCC of the complaint; and</w:t>
      </w:r>
    </w:p>
    <w:p w:rsidR="00221453" w:rsidRPr="00B448BA" w:rsidRDefault="007F32B9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d</w:t>
      </w:r>
      <w:r w:rsidR="00221453" w:rsidRPr="00B448BA">
        <w:rPr>
          <w:rFonts w:ascii="Arial" w:hAnsi="Arial" w:cs="Arial"/>
          <w:sz w:val="20"/>
          <w:szCs w:val="20"/>
        </w:rPr>
        <w:t>eal with the complaint, subject to the CCC’s monitoring role.</w:t>
      </w:r>
    </w:p>
    <w:p w:rsidR="002F1B1A" w:rsidRPr="00B448BA" w:rsidRDefault="00716F1A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 xml:space="preserve">If the Public Official </w:t>
      </w:r>
      <w:r w:rsidR="0038317B" w:rsidRPr="00B448BA">
        <w:rPr>
          <w:rFonts w:cs="Arial"/>
        </w:rPr>
        <w:t xml:space="preserve">receives a complaint and </w:t>
      </w:r>
      <w:r w:rsidRPr="00B448BA">
        <w:rPr>
          <w:rFonts w:cs="Arial"/>
        </w:rPr>
        <w:t xml:space="preserve">reasonably suspects that </w:t>
      </w:r>
      <w:r w:rsidR="00E3302B" w:rsidRPr="00B448BA">
        <w:rPr>
          <w:rFonts w:cs="Arial"/>
        </w:rPr>
        <w:t>a</w:t>
      </w:r>
      <w:r w:rsidRPr="00B448BA">
        <w:rPr>
          <w:rFonts w:cs="Arial"/>
        </w:rPr>
        <w:t xml:space="preserve"> complaint may involve corrupt conduct on </w:t>
      </w:r>
      <w:r w:rsidR="0038317B" w:rsidRPr="00B448BA">
        <w:rPr>
          <w:rFonts w:cs="Arial"/>
        </w:rPr>
        <w:t>his or her</w:t>
      </w:r>
      <w:r w:rsidRPr="00B448BA">
        <w:rPr>
          <w:rFonts w:cs="Arial"/>
        </w:rPr>
        <w:t xml:space="preserve"> part, the Public Official must:</w:t>
      </w:r>
    </w:p>
    <w:p w:rsidR="00716F1A" w:rsidRPr="00B448BA" w:rsidRDefault="007F32B9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r</w:t>
      </w:r>
      <w:r w:rsidR="00716F1A" w:rsidRPr="00B448BA">
        <w:rPr>
          <w:rFonts w:ascii="Arial" w:hAnsi="Arial" w:cs="Arial"/>
          <w:sz w:val="20"/>
          <w:szCs w:val="20"/>
        </w:rPr>
        <w:t xml:space="preserve">eport the complaint to the </w:t>
      </w:r>
      <w:r w:rsidR="00BA7AE2" w:rsidRPr="00B448BA">
        <w:rPr>
          <w:rFonts w:ascii="Arial" w:hAnsi="Arial" w:cs="Arial"/>
          <w:sz w:val="20"/>
          <w:szCs w:val="20"/>
        </w:rPr>
        <w:t>Nominated Person</w:t>
      </w:r>
      <w:r w:rsidR="00716F1A" w:rsidRPr="00B448BA">
        <w:rPr>
          <w:rFonts w:ascii="Arial" w:hAnsi="Arial" w:cs="Arial"/>
          <w:sz w:val="20"/>
          <w:szCs w:val="20"/>
        </w:rPr>
        <w:t xml:space="preserve"> and may also notify the CCC;</w:t>
      </w:r>
      <w:r w:rsidR="00125FCD" w:rsidRPr="00B448BA">
        <w:rPr>
          <w:rFonts w:ascii="Arial" w:hAnsi="Arial" w:cs="Arial"/>
          <w:sz w:val="20"/>
          <w:szCs w:val="20"/>
        </w:rPr>
        <w:t xml:space="preserve"> and</w:t>
      </w:r>
    </w:p>
    <w:p w:rsidR="00716F1A" w:rsidRPr="00B448BA" w:rsidRDefault="007F32B9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t</w:t>
      </w:r>
      <w:r w:rsidR="00716F1A" w:rsidRPr="00B448BA">
        <w:rPr>
          <w:rFonts w:ascii="Arial" w:hAnsi="Arial" w:cs="Arial"/>
          <w:sz w:val="20"/>
          <w:szCs w:val="20"/>
        </w:rPr>
        <w:t xml:space="preserve">ake no further action to deal with the complaint unless requested to do so by the </w:t>
      </w:r>
      <w:r w:rsidR="00BA7AE2" w:rsidRPr="00B448BA">
        <w:rPr>
          <w:rFonts w:ascii="Arial" w:hAnsi="Arial" w:cs="Arial"/>
          <w:sz w:val="20"/>
          <w:szCs w:val="20"/>
        </w:rPr>
        <w:t>Nominated Person</w:t>
      </w:r>
      <w:r w:rsidR="00716F1A" w:rsidRPr="00B448BA">
        <w:rPr>
          <w:rFonts w:ascii="Arial" w:hAnsi="Arial" w:cs="Arial"/>
          <w:sz w:val="20"/>
          <w:szCs w:val="20"/>
        </w:rPr>
        <w:t xml:space="preserve"> o</w:t>
      </w:r>
      <w:r w:rsidRPr="00B448BA">
        <w:rPr>
          <w:rFonts w:ascii="Arial" w:hAnsi="Arial" w:cs="Arial"/>
          <w:sz w:val="20"/>
          <w:szCs w:val="20"/>
        </w:rPr>
        <w:t>r</w:t>
      </w:r>
      <w:r w:rsidR="00716F1A" w:rsidRPr="00B448BA">
        <w:rPr>
          <w:rFonts w:ascii="Arial" w:hAnsi="Arial" w:cs="Arial"/>
          <w:sz w:val="20"/>
          <w:szCs w:val="20"/>
        </w:rPr>
        <w:t xml:space="preserve"> the</w:t>
      </w:r>
      <w:r w:rsidRPr="00B448BA">
        <w:rPr>
          <w:rFonts w:ascii="Arial" w:hAnsi="Arial" w:cs="Arial"/>
          <w:sz w:val="20"/>
          <w:szCs w:val="20"/>
        </w:rPr>
        <w:t xml:space="preserve"> Stanwell Board.</w:t>
      </w:r>
    </w:p>
    <w:p w:rsidR="00E3302B" w:rsidRPr="00B448BA" w:rsidRDefault="00E3302B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>In the event that a direction issued by the CCC under section 40 is relevant, then the Nominated Person must deal with the complaint in accordance with that direction.</w:t>
      </w:r>
    </w:p>
    <w:p w:rsidR="00EA550A" w:rsidRPr="005076DC" w:rsidRDefault="0034160B" w:rsidP="00B448BA">
      <w:pPr>
        <w:pStyle w:val="SCL-Heading2"/>
      </w:pPr>
      <w:r w:rsidRPr="005076DC">
        <w:t>3.4</w:t>
      </w:r>
      <w:r w:rsidR="00B448BA">
        <w:tab/>
      </w:r>
      <w:r w:rsidR="00F908EC">
        <w:t>Resourc</w:t>
      </w:r>
      <w:r w:rsidR="006C3449">
        <w:t>ing</w:t>
      </w:r>
      <w:r w:rsidR="00F908EC">
        <w:t xml:space="preserve"> </w:t>
      </w:r>
      <w:r w:rsidR="00E3302B">
        <w:t>to deal with a complaint</w:t>
      </w:r>
    </w:p>
    <w:p w:rsidR="005076DC" w:rsidRPr="00B448BA" w:rsidRDefault="005076DC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 xml:space="preserve">If the </w:t>
      </w:r>
      <w:r w:rsidR="00BA7AE2" w:rsidRPr="00B448BA">
        <w:rPr>
          <w:rFonts w:cs="Arial"/>
        </w:rPr>
        <w:t>Nominated Person</w:t>
      </w:r>
      <w:r w:rsidRPr="00B448BA">
        <w:rPr>
          <w:rFonts w:cs="Arial"/>
        </w:rPr>
        <w:t xml:space="preserve"> </w:t>
      </w:r>
      <w:r w:rsidR="00E3302B" w:rsidRPr="00B448BA">
        <w:rPr>
          <w:rFonts w:cs="Arial"/>
        </w:rPr>
        <w:t>is responsible for dealing</w:t>
      </w:r>
      <w:r w:rsidRPr="00B448BA">
        <w:rPr>
          <w:rFonts w:cs="Arial"/>
        </w:rPr>
        <w:t xml:space="preserve"> with a complaint</w:t>
      </w:r>
      <w:r w:rsidR="00901EB1" w:rsidRPr="00B448BA">
        <w:rPr>
          <w:rFonts w:cs="Arial"/>
        </w:rPr>
        <w:t>:</w:t>
      </w:r>
      <w:r w:rsidR="00B13536" w:rsidRPr="00B448BA">
        <w:rPr>
          <w:rFonts w:cs="Arial"/>
        </w:rPr>
        <w:t xml:space="preserve"> </w:t>
      </w:r>
    </w:p>
    <w:p w:rsidR="005076DC" w:rsidRPr="00B448BA" w:rsidRDefault="005076DC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 xml:space="preserve">Stanwell will ensure that sufficient resources are </w:t>
      </w:r>
      <w:r w:rsidR="00E3302B" w:rsidRPr="00B448BA">
        <w:rPr>
          <w:rFonts w:ascii="Arial" w:hAnsi="Arial" w:cs="Arial"/>
          <w:sz w:val="20"/>
          <w:szCs w:val="20"/>
        </w:rPr>
        <w:t xml:space="preserve">made </w:t>
      </w:r>
      <w:r w:rsidRPr="00B448BA">
        <w:rPr>
          <w:rFonts w:ascii="Arial" w:hAnsi="Arial" w:cs="Arial"/>
          <w:sz w:val="20"/>
          <w:szCs w:val="20"/>
        </w:rPr>
        <w:t xml:space="preserve">available to the </w:t>
      </w:r>
      <w:r w:rsidR="00BA7AE2" w:rsidRPr="00B448BA">
        <w:rPr>
          <w:rFonts w:ascii="Arial" w:hAnsi="Arial" w:cs="Arial"/>
          <w:sz w:val="20"/>
          <w:szCs w:val="20"/>
        </w:rPr>
        <w:t xml:space="preserve">Nominated Person </w:t>
      </w:r>
      <w:r w:rsidRPr="00B448BA">
        <w:rPr>
          <w:rFonts w:ascii="Arial" w:hAnsi="Arial" w:cs="Arial"/>
          <w:sz w:val="20"/>
          <w:szCs w:val="20"/>
        </w:rPr>
        <w:t>to enable them to deal with the complaint appropriately; and</w:t>
      </w:r>
    </w:p>
    <w:p w:rsidR="005076DC" w:rsidRPr="00B448BA" w:rsidRDefault="005076DC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 xml:space="preserve">the </w:t>
      </w:r>
      <w:r w:rsidR="00BA7AE2" w:rsidRPr="00B448BA">
        <w:rPr>
          <w:rFonts w:ascii="Arial" w:hAnsi="Arial" w:cs="Arial"/>
          <w:sz w:val="20"/>
          <w:szCs w:val="20"/>
        </w:rPr>
        <w:t>Nominated Person</w:t>
      </w:r>
      <w:r w:rsidRPr="00B448BA">
        <w:rPr>
          <w:rFonts w:ascii="Arial" w:hAnsi="Arial" w:cs="Arial"/>
          <w:sz w:val="20"/>
          <w:szCs w:val="20"/>
        </w:rPr>
        <w:t xml:space="preserve"> </w:t>
      </w:r>
      <w:r w:rsidR="00E3302B" w:rsidRPr="00B448BA">
        <w:rPr>
          <w:rFonts w:ascii="Arial" w:hAnsi="Arial" w:cs="Arial"/>
          <w:sz w:val="20"/>
          <w:szCs w:val="20"/>
        </w:rPr>
        <w:t>must</w:t>
      </w:r>
      <w:r w:rsidRPr="00B448BA">
        <w:rPr>
          <w:rFonts w:ascii="Arial" w:hAnsi="Arial" w:cs="Arial"/>
          <w:sz w:val="20"/>
          <w:szCs w:val="20"/>
        </w:rPr>
        <w:t xml:space="preserve"> ensure that consultations, if any, for the purpose of securing resources sufficient to </w:t>
      </w:r>
      <w:r w:rsidR="00E3302B" w:rsidRPr="00B448BA">
        <w:rPr>
          <w:rFonts w:ascii="Arial" w:hAnsi="Arial" w:cs="Arial"/>
          <w:sz w:val="20"/>
          <w:szCs w:val="20"/>
        </w:rPr>
        <w:t xml:space="preserve">appropriately </w:t>
      </w:r>
      <w:r w:rsidRPr="00B448BA">
        <w:rPr>
          <w:rFonts w:ascii="Arial" w:hAnsi="Arial" w:cs="Arial"/>
          <w:sz w:val="20"/>
          <w:szCs w:val="20"/>
        </w:rPr>
        <w:t>deal with the complaint</w:t>
      </w:r>
      <w:r w:rsidR="00E3302B" w:rsidRPr="00B448BA">
        <w:rPr>
          <w:rFonts w:ascii="Arial" w:hAnsi="Arial" w:cs="Arial"/>
          <w:sz w:val="20"/>
          <w:szCs w:val="20"/>
        </w:rPr>
        <w:t>,</w:t>
      </w:r>
      <w:r w:rsidRPr="00B448BA">
        <w:rPr>
          <w:rFonts w:ascii="Arial" w:hAnsi="Arial" w:cs="Arial"/>
          <w:sz w:val="20"/>
          <w:szCs w:val="20"/>
        </w:rPr>
        <w:t xml:space="preserve"> are confidential and are not disclosed, other than to the CCC, without:</w:t>
      </w:r>
    </w:p>
    <w:p w:rsidR="005076DC" w:rsidRPr="00B448BA" w:rsidRDefault="005076DC" w:rsidP="00B448BA">
      <w:pPr>
        <w:pStyle w:val="ListParagraph"/>
        <w:numPr>
          <w:ilvl w:val="1"/>
          <w:numId w:val="10"/>
        </w:numPr>
        <w:ind w:left="198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authorisation under a law of the Commonwealth or State</w:t>
      </w:r>
      <w:r w:rsidR="00901EB1" w:rsidRPr="00B448BA">
        <w:rPr>
          <w:rFonts w:ascii="Arial" w:hAnsi="Arial" w:cs="Arial"/>
          <w:sz w:val="20"/>
          <w:szCs w:val="20"/>
        </w:rPr>
        <w:t>;</w:t>
      </w:r>
      <w:r w:rsidRPr="00B448BA">
        <w:rPr>
          <w:rFonts w:ascii="Arial" w:hAnsi="Arial" w:cs="Arial"/>
          <w:sz w:val="20"/>
          <w:szCs w:val="20"/>
        </w:rPr>
        <w:t xml:space="preserve"> or</w:t>
      </w:r>
    </w:p>
    <w:p w:rsidR="00B448BA" w:rsidRPr="00B448BA" w:rsidRDefault="005076DC" w:rsidP="00B448BA">
      <w:pPr>
        <w:pStyle w:val="ListParagraph"/>
        <w:numPr>
          <w:ilvl w:val="1"/>
          <w:numId w:val="10"/>
        </w:numPr>
        <w:ind w:left="1980"/>
      </w:pPr>
      <w:r w:rsidRPr="00B448BA">
        <w:rPr>
          <w:rFonts w:ascii="Arial" w:hAnsi="Arial" w:cs="Arial"/>
          <w:sz w:val="20"/>
          <w:szCs w:val="20"/>
        </w:rPr>
        <w:t xml:space="preserve">the consent of the </w:t>
      </w:r>
      <w:r w:rsidR="00BA7AE2" w:rsidRPr="00B448BA">
        <w:rPr>
          <w:rFonts w:ascii="Arial" w:hAnsi="Arial" w:cs="Arial"/>
          <w:sz w:val="20"/>
          <w:szCs w:val="20"/>
        </w:rPr>
        <w:t>Nominated Person</w:t>
      </w:r>
      <w:r w:rsidR="00901EB1" w:rsidRPr="00B448BA">
        <w:rPr>
          <w:rFonts w:ascii="Arial" w:hAnsi="Arial" w:cs="Arial"/>
          <w:sz w:val="20"/>
          <w:szCs w:val="20"/>
        </w:rPr>
        <w:t>.</w:t>
      </w:r>
    </w:p>
    <w:p w:rsidR="00B448BA" w:rsidRDefault="00B448BA" w:rsidP="00B448BA">
      <w:pPr>
        <w:pStyle w:val="ListParagraph"/>
        <w:numPr>
          <w:ilvl w:val="1"/>
          <w:numId w:val="10"/>
        </w:numPr>
        <w:ind w:left="1980"/>
      </w:pPr>
      <w:r>
        <w:br w:type="page"/>
      </w:r>
    </w:p>
    <w:p w:rsidR="00252506" w:rsidRPr="00252506" w:rsidRDefault="00B448BA" w:rsidP="00B448BA">
      <w:pPr>
        <w:pStyle w:val="SCL-Heading2"/>
      </w:pPr>
      <w:r>
        <w:t>3.5</w:t>
      </w:r>
      <w:r>
        <w:tab/>
      </w:r>
      <w:r w:rsidR="00252506" w:rsidRPr="00252506">
        <w:t xml:space="preserve">Rights of the Public Official </w:t>
      </w:r>
      <w:r w:rsidR="00E3302B">
        <w:t xml:space="preserve">while </w:t>
      </w:r>
      <w:r w:rsidR="00484601">
        <w:t>a</w:t>
      </w:r>
      <w:r w:rsidR="00252506">
        <w:t xml:space="preserve"> complaint </w:t>
      </w:r>
      <w:r w:rsidR="00E3302B">
        <w:t>is being dealt with</w:t>
      </w:r>
    </w:p>
    <w:p w:rsidR="00252506" w:rsidRPr="00B448BA" w:rsidRDefault="00252506" w:rsidP="00B448BA">
      <w:pPr>
        <w:spacing w:after="120"/>
        <w:ind w:left="902"/>
        <w:jc w:val="both"/>
        <w:rPr>
          <w:rFonts w:cs="Arial"/>
        </w:rPr>
      </w:pPr>
      <w:r w:rsidRPr="00B448BA">
        <w:rPr>
          <w:rFonts w:cs="Arial"/>
        </w:rPr>
        <w:t>The Public Officer will:</w:t>
      </w:r>
    </w:p>
    <w:p w:rsidR="00252506" w:rsidRPr="00B448BA" w:rsidRDefault="00252506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be treated in accordance with the principles of natural justice;</w:t>
      </w:r>
    </w:p>
    <w:p w:rsidR="00252506" w:rsidRPr="00B448BA" w:rsidRDefault="00252506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be assisted by being able to contact support and assistance; and</w:t>
      </w:r>
    </w:p>
    <w:p w:rsidR="00252506" w:rsidRPr="00B448BA" w:rsidRDefault="00252506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be informed of the progress of the complaint as appropriate, including the outcome of any investigation.</w:t>
      </w:r>
    </w:p>
    <w:p w:rsidR="00252506" w:rsidRPr="00B448BA" w:rsidRDefault="00B448BA" w:rsidP="00B448BA">
      <w:pPr>
        <w:pStyle w:val="SCL-Heading2"/>
      </w:pPr>
      <w:r>
        <w:t>3.6</w:t>
      </w:r>
      <w:r>
        <w:tab/>
      </w:r>
      <w:r w:rsidR="00484601" w:rsidRPr="00484601">
        <w:t xml:space="preserve">Delegated Power and Authority </w:t>
      </w:r>
      <w:r w:rsidR="00E3302B">
        <w:t>to deal with</w:t>
      </w:r>
      <w:r w:rsidR="00E3302B" w:rsidRPr="00484601">
        <w:t xml:space="preserve"> </w:t>
      </w:r>
      <w:r w:rsidR="00484601">
        <w:t>a</w:t>
      </w:r>
      <w:r w:rsidR="00484601" w:rsidRPr="00484601">
        <w:t xml:space="preserve"> complaint </w:t>
      </w:r>
    </w:p>
    <w:p w:rsidR="00484601" w:rsidRPr="00B448BA" w:rsidRDefault="00E205E3" w:rsidP="00B448BA">
      <w:pPr>
        <w:spacing w:after="120"/>
        <w:ind w:left="900"/>
        <w:rPr>
          <w:rFonts w:cs="Arial"/>
        </w:rPr>
      </w:pPr>
      <w:r w:rsidRPr="00B448BA">
        <w:rPr>
          <w:rFonts w:cs="Arial"/>
        </w:rPr>
        <w:t>For</w:t>
      </w:r>
      <w:r w:rsidR="00484601" w:rsidRPr="00B448BA">
        <w:rPr>
          <w:rFonts w:cs="Arial"/>
        </w:rPr>
        <w:t xml:space="preserve"> the purposes of </w:t>
      </w:r>
      <w:r w:rsidR="00E3302B" w:rsidRPr="00B448BA">
        <w:rPr>
          <w:rFonts w:cs="Arial"/>
          <w:b/>
        </w:rPr>
        <w:t>dealing with a</w:t>
      </w:r>
      <w:r w:rsidR="00E3302B" w:rsidRPr="00B448BA">
        <w:rPr>
          <w:rFonts w:cs="Arial"/>
        </w:rPr>
        <w:t xml:space="preserve"> </w:t>
      </w:r>
      <w:r w:rsidR="00484601" w:rsidRPr="00B448BA">
        <w:rPr>
          <w:rFonts w:cs="Arial"/>
          <w:b/>
        </w:rPr>
        <w:t xml:space="preserve">complaint </w:t>
      </w:r>
      <w:r w:rsidR="00484601" w:rsidRPr="00B448BA">
        <w:rPr>
          <w:rFonts w:cs="Arial"/>
          <w:b/>
          <w:u w:val="single"/>
        </w:rPr>
        <w:t>only</w:t>
      </w:r>
      <w:r w:rsidR="00484601" w:rsidRPr="00B448BA">
        <w:rPr>
          <w:rFonts w:cs="Arial"/>
        </w:rPr>
        <w:t xml:space="preserve">, the </w:t>
      </w:r>
      <w:r w:rsidR="00BA7AE2" w:rsidRPr="00B448BA">
        <w:rPr>
          <w:rFonts w:cs="Arial"/>
        </w:rPr>
        <w:t>Nominated Person</w:t>
      </w:r>
      <w:r w:rsidR="007D67CE" w:rsidRPr="00B448BA">
        <w:rPr>
          <w:rFonts w:cs="Arial"/>
        </w:rPr>
        <w:t>:</w:t>
      </w:r>
    </w:p>
    <w:p w:rsidR="00484601" w:rsidRPr="00B448BA" w:rsidRDefault="00F908EC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is delegated the same authority, functions and power</w:t>
      </w:r>
      <w:r w:rsidR="00484601" w:rsidRPr="00B448BA">
        <w:rPr>
          <w:rFonts w:ascii="Arial" w:hAnsi="Arial" w:cs="Arial"/>
          <w:sz w:val="20"/>
          <w:szCs w:val="20"/>
        </w:rPr>
        <w:t xml:space="preserve"> as the Public Official</w:t>
      </w:r>
      <w:r w:rsidR="006D2CDF" w:rsidRPr="00B448BA">
        <w:rPr>
          <w:rFonts w:ascii="Arial" w:hAnsi="Arial" w:cs="Arial"/>
          <w:sz w:val="20"/>
          <w:szCs w:val="20"/>
        </w:rPr>
        <w:t xml:space="preserve"> has</w:t>
      </w:r>
      <w:r w:rsidR="00484601" w:rsidRPr="00B448BA">
        <w:rPr>
          <w:rFonts w:ascii="Arial" w:hAnsi="Arial" w:cs="Arial"/>
          <w:sz w:val="20"/>
          <w:szCs w:val="20"/>
        </w:rPr>
        <w:t xml:space="preserve"> to direct and control Stanwell’s employees and contractors;</w:t>
      </w:r>
    </w:p>
    <w:p w:rsidR="00484601" w:rsidRPr="00B448BA" w:rsidRDefault="00F908EC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 xml:space="preserve">is </w:t>
      </w:r>
      <w:r w:rsidR="00484601" w:rsidRPr="00B448BA">
        <w:rPr>
          <w:rFonts w:ascii="Arial" w:hAnsi="Arial" w:cs="Arial"/>
          <w:sz w:val="20"/>
          <w:szCs w:val="20"/>
        </w:rPr>
        <w:t xml:space="preserve">delegated the </w:t>
      </w:r>
      <w:r w:rsidR="006D2CDF" w:rsidRPr="00B448BA">
        <w:rPr>
          <w:rFonts w:ascii="Arial" w:hAnsi="Arial" w:cs="Arial"/>
          <w:sz w:val="20"/>
          <w:szCs w:val="20"/>
        </w:rPr>
        <w:t xml:space="preserve">same </w:t>
      </w:r>
      <w:r w:rsidRPr="00B448BA">
        <w:rPr>
          <w:rFonts w:ascii="Arial" w:hAnsi="Arial" w:cs="Arial"/>
          <w:sz w:val="20"/>
          <w:szCs w:val="20"/>
        </w:rPr>
        <w:t>authority,</w:t>
      </w:r>
      <w:r w:rsidR="006D2CDF" w:rsidRPr="00B448BA">
        <w:rPr>
          <w:rFonts w:ascii="Arial" w:hAnsi="Arial" w:cs="Arial"/>
          <w:sz w:val="20"/>
          <w:szCs w:val="20"/>
        </w:rPr>
        <w:t xml:space="preserve"> functions and </w:t>
      </w:r>
      <w:r w:rsidRPr="00B448BA">
        <w:rPr>
          <w:rFonts w:ascii="Arial" w:hAnsi="Arial" w:cs="Arial"/>
          <w:sz w:val="20"/>
          <w:szCs w:val="20"/>
        </w:rPr>
        <w:t>power</w:t>
      </w:r>
      <w:r w:rsidR="006D2CDF" w:rsidRPr="00B448BA">
        <w:rPr>
          <w:rFonts w:ascii="Arial" w:hAnsi="Arial" w:cs="Arial"/>
          <w:sz w:val="20"/>
          <w:szCs w:val="20"/>
        </w:rPr>
        <w:t xml:space="preserve"> as the Public Official to enter into contracts on behalf of Stanwell;</w:t>
      </w:r>
      <w:r w:rsidR="004B1602" w:rsidRPr="00B448BA">
        <w:rPr>
          <w:rFonts w:ascii="Arial" w:hAnsi="Arial" w:cs="Arial"/>
          <w:sz w:val="20"/>
          <w:szCs w:val="20"/>
        </w:rPr>
        <w:t xml:space="preserve"> and</w:t>
      </w:r>
    </w:p>
    <w:p w:rsidR="00F908EC" w:rsidRPr="00B448BA" w:rsidRDefault="00F908EC" w:rsidP="00B448BA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does not have any authority, functions and power that cannot under the law of the Commonwealth or the State be delegated by either the Stanwell Board or the Public Official</w:t>
      </w:r>
    </w:p>
    <w:p w:rsidR="007901D6" w:rsidRDefault="007901D6" w:rsidP="00B448BA">
      <w:pPr>
        <w:pStyle w:val="SCL-Heading1"/>
      </w:pPr>
      <w:r w:rsidRPr="00B531DB">
        <w:t>Responsibilities</w:t>
      </w:r>
    </w:p>
    <w:p w:rsidR="00565D04" w:rsidRPr="00565D04" w:rsidRDefault="00565D04" w:rsidP="00B448BA">
      <w:pPr>
        <w:spacing w:after="120"/>
        <w:ind w:left="720"/>
        <w:rPr>
          <w:b/>
        </w:rPr>
      </w:pPr>
      <w:r w:rsidRPr="00565D04">
        <w:t xml:space="preserve">Refer </w:t>
      </w:r>
      <w:r>
        <w:t xml:space="preserve">to the </w:t>
      </w:r>
      <w:proofErr w:type="spellStart"/>
      <w:r>
        <w:t>Whistleblower</w:t>
      </w:r>
      <w:proofErr w:type="spellEnd"/>
      <w:r>
        <w:t xml:space="preserve"> Protection Policy </w:t>
      </w:r>
      <w:r w:rsidR="00854776">
        <w:t>(</w:t>
      </w:r>
      <w:r>
        <w:t>GOV-POL-</w:t>
      </w:r>
      <w:r w:rsidR="00854776">
        <w:t>29)</w:t>
      </w:r>
      <w:r>
        <w:t xml:space="preserve"> and the Protected Disclosure Procedure </w:t>
      </w:r>
      <w:r w:rsidR="00854776">
        <w:t>(</w:t>
      </w:r>
      <w:r>
        <w:t>GOV-</w:t>
      </w:r>
      <w:r w:rsidR="00854776">
        <w:t>PROC-36)</w:t>
      </w:r>
      <w:r w:rsidR="00901EB1">
        <w:t>.</w:t>
      </w:r>
    </w:p>
    <w:p w:rsidR="005076DC" w:rsidRPr="00B448BA" w:rsidRDefault="00CC188A" w:rsidP="005076DC">
      <w:pPr>
        <w:pStyle w:val="Heading1"/>
        <w:rPr>
          <w:b w:val="0"/>
          <w:sz w:val="20"/>
          <w:szCs w:val="20"/>
        </w:rPr>
      </w:pPr>
      <w:r w:rsidRPr="00B448BA">
        <w:rPr>
          <w:sz w:val="20"/>
          <w:szCs w:val="20"/>
        </w:rPr>
        <w:tab/>
      </w:r>
      <w:r w:rsidRPr="00B448BA">
        <w:rPr>
          <w:b w:val="0"/>
          <w:sz w:val="20"/>
          <w:szCs w:val="20"/>
        </w:rPr>
        <w:t>The</w:t>
      </w:r>
      <w:r w:rsidRPr="00B448BA">
        <w:rPr>
          <w:sz w:val="20"/>
          <w:szCs w:val="20"/>
        </w:rPr>
        <w:t xml:space="preserve"> Public Official</w:t>
      </w:r>
      <w:r w:rsidRPr="00B448BA">
        <w:rPr>
          <w:b w:val="0"/>
          <w:sz w:val="20"/>
          <w:szCs w:val="20"/>
        </w:rPr>
        <w:t xml:space="preserve"> must:</w:t>
      </w:r>
    </w:p>
    <w:p w:rsidR="00CC188A" w:rsidRPr="00B448BA" w:rsidRDefault="0038317B" w:rsidP="0085477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c</w:t>
      </w:r>
      <w:r w:rsidR="00CC188A" w:rsidRPr="00B448BA">
        <w:rPr>
          <w:rFonts w:ascii="Arial" w:hAnsi="Arial" w:cs="Arial"/>
          <w:sz w:val="20"/>
          <w:szCs w:val="20"/>
        </w:rPr>
        <w:t xml:space="preserve">onsult with the CCC when preparing the </w:t>
      </w:r>
      <w:r w:rsidR="00CC188A" w:rsidRPr="00B448BA">
        <w:rPr>
          <w:rFonts w:ascii="Arial" w:hAnsi="Arial" w:cs="Arial"/>
          <w:i/>
          <w:sz w:val="20"/>
          <w:szCs w:val="20"/>
        </w:rPr>
        <w:t>Management of Public Official Complaints Policy</w:t>
      </w:r>
      <w:r w:rsidRPr="00B448BA">
        <w:rPr>
          <w:rFonts w:ascii="Arial" w:hAnsi="Arial" w:cs="Arial"/>
          <w:sz w:val="20"/>
          <w:szCs w:val="20"/>
        </w:rPr>
        <w:t>;</w:t>
      </w:r>
    </w:p>
    <w:p w:rsidR="00CC188A" w:rsidRPr="00B448BA" w:rsidRDefault="00A43B8A" w:rsidP="0085477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advise</w:t>
      </w:r>
      <w:r w:rsidR="00CC188A" w:rsidRPr="00B448BA">
        <w:rPr>
          <w:rFonts w:ascii="Arial" w:hAnsi="Arial" w:cs="Arial"/>
          <w:sz w:val="20"/>
          <w:szCs w:val="20"/>
        </w:rPr>
        <w:t xml:space="preserve"> the CCC </w:t>
      </w:r>
      <w:r w:rsidR="001C7AF4" w:rsidRPr="00B448BA">
        <w:rPr>
          <w:rFonts w:ascii="Arial" w:hAnsi="Arial" w:cs="Arial"/>
          <w:sz w:val="20"/>
          <w:szCs w:val="20"/>
        </w:rPr>
        <w:t xml:space="preserve">that </w:t>
      </w:r>
      <w:r w:rsidRPr="00B448BA">
        <w:rPr>
          <w:rFonts w:ascii="Arial" w:hAnsi="Arial" w:cs="Arial"/>
          <w:sz w:val="20"/>
          <w:szCs w:val="20"/>
        </w:rPr>
        <w:t xml:space="preserve">the </w:t>
      </w:r>
      <w:r w:rsidR="00B928F2" w:rsidRPr="00B448BA">
        <w:rPr>
          <w:rFonts w:ascii="Arial" w:hAnsi="Arial" w:cs="Arial"/>
          <w:sz w:val="20"/>
          <w:szCs w:val="20"/>
        </w:rPr>
        <w:t>Stanwell</w:t>
      </w:r>
      <w:r w:rsidR="00CC188A" w:rsidRPr="00B448BA">
        <w:rPr>
          <w:rFonts w:ascii="Arial" w:hAnsi="Arial" w:cs="Arial"/>
          <w:sz w:val="20"/>
          <w:szCs w:val="20"/>
        </w:rPr>
        <w:t xml:space="preserve"> Executive General Manager Business Services</w:t>
      </w:r>
      <w:r w:rsidRPr="00B448BA">
        <w:rPr>
          <w:rFonts w:ascii="Arial" w:hAnsi="Arial" w:cs="Arial"/>
          <w:sz w:val="20"/>
          <w:szCs w:val="20"/>
        </w:rPr>
        <w:t xml:space="preserve"> </w:t>
      </w:r>
      <w:r w:rsidR="004B1602" w:rsidRPr="00B448BA">
        <w:rPr>
          <w:rFonts w:ascii="Arial" w:hAnsi="Arial" w:cs="Arial"/>
          <w:sz w:val="20"/>
          <w:szCs w:val="20"/>
        </w:rPr>
        <w:t>(</w:t>
      </w:r>
      <w:r w:rsidRPr="00B448BA">
        <w:rPr>
          <w:rFonts w:ascii="Arial" w:hAnsi="Arial" w:cs="Arial"/>
          <w:sz w:val="20"/>
          <w:szCs w:val="20"/>
        </w:rPr>
        <w:t>or in his or her absence</w:t>
      </w:r>
      <w:r w:rsidR="000E7225" w:rsidRPr="00B448BA">
        <w:rPr>
          <w:rFonts w:ascii="Arial" w:hAnsi="Arial" w:cs="Arial"/>
          <w:sz w:val="20"/>
          <w:szCs w:val="20"/>
        </w:rPr>
        <w:t>,</w:t>
      </w:r>
      <w:r w:rsidR="00B928F2" w:rsidRPr="00B448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928F2" w:rsidRPr="00B448BA">
        <w:rPr>
          <w:rFonts w:ascii="Arial" w:hAnsi="Arial" w:cs="Arial"/>
          <w:sz w:val="20"/>
          <w:szCs w:val="20"/>
        </w:rPr>
        <w:t xml:space="preserve">or if the complaint </w:t>
      </w:r>
      <w:r w:rsidR="000E7225" w:rsidRPr="00B448BA">
        <w:rPr>
          <w:rFonts w:ascii="Arial" w:hAnsi="Arial" w:cs="Arial"/>
          <w:sz w:val="20"/>
          <w:szCs w:val="20"/>
        </w:rPr>
        <w:t xml:space="preserve">also </w:t>
      </w:r>
      <w:r w:rsidR="004B1602" w:rsidRPr="00B448BA">
        <w:rPr>
          <w:rFonts w:ascii="Arial" w:hAnsi="Arial" w:cs="Arial"/>
          <w:sz w:val="20"/>
          <w:szCs w:val="20"/>
        </w:rPr>
        <w:t>involves</w:t>
      </w:r>
      <w:r w:rsidR="00B928F2" w:rsidRPr="00B448BA">
        <w:rPr>
          <w:rFonts w:ascii="Arial" w:hAnsi="Arial" w:cs="Arial"/>
          <w:sz w:val="20"/>
          <w:szCs w:val="20"/>
        </w:rPr>
        <w:t xml:space="preserve"> the Executive General Manager Business Services,</w:t>
      </w:r>
      <w:r w:rsidRPr="00B448BA">
        <w:rPr>
          <w:rFonts w:ascii="Arial" w:hAnsi="Arial" w:cs="Arial"/>
          <w:sz w:val="20"/>
          <w:szCs w:val="20"/>
        </w:rPr>
        <w:t xml:space="preserve"> the Company Secretary</w:t>
      </w:r>
      <w:r w:rsidR="004B1602" w:rsidRPr="00B448BA">
        <w:rPr>
          <w:rFonts w:ascii="Arial" w:hAnsi="Arial" w:cs="Arial"/>
          <w:sz w:val="20"/>
          <w:szCs w:val="20"/>
        </w:rPr>
        <w:t>)</w:t>
      </w:r>
      <w:r w:rsidRPr="00B448BA">
        <w:rPr>
          <w:rFonts w:ascii="Arial" w:hAnsi="Arial" w:cs="Arial"/>
          <w:sz w:val="20"/>
          <w:szCs w:val="20"/>
        </w:rPr>
        <w:t xml:space="preserve"> </w:t>
      </w:r>
      <w:r w:rsidR="004B1602" w:rsidRPr="00B448BA">
        <w:rPr>
          <w:rFonts w:ascii="Arial" w:hAnsi="Arial" w:cs="Arial"/>
          <w:sz w:val="20"/>
          <w:szCs w:val="20"/>
        </w:rPr>
        <w:t xml:space="preserve">is </w:t>
      </w:r>
      <w:r w:rsidRPr="00B448BA">
        <w:rPr>
          <w:rFonts w:ascii="Arial" w:hAnsi="Arial" w:cs="Arial"/>
          <w:sz w:val="20"/>
          <w:szCs w:val="20"/>
        </w:rPr>
        <w:t>the</w:t>
      </w:r>
      <w:r w:rsidR="001C7AF4" w:rsidRPr="00B448BA">
        <w:rPr>
          <w:rFonts w:ascii="Arial" w:hAnsi="Arial" w:cs="Arial"/>
          <w:sz w:val="20"/>
          <w:szCs w:val="20"/>
        </w:rPr>
        <w:t xml:space="preserve"> nomina</w:t>
      </w:r>
      <w:r w:rsidR="00B928F2" w:rsidRPr="00B448BA">
        <w:rPr>
          <w:rFonts w:ascii="Arial" w:hAnsi="Arial" w:cs="Arial"/>
          <w:sz w:val="20"/>
          <w:szCs w:val="20"/>
        </w:rPr>
        <w:t xml:space="preserve">ted person in accordance with </w:t>
      </w:r>
      <w:r w:rsidR="001C7AF4" w:rsidRPr="00B448BA">
        <w:rPr>
          <w:rFonts w:ascii="Arial" w:hAnsi="Arial" w:cs="Arial"/>
          <w:sz w:val="20"/>
          <w:szCs w:val="20"/>
        </w:rPr>
        <w:t>s48A(2) of the CC Act</w:t>
      </w:r>
      <w:r w:rsidR="0038317B" w:rsidRPr="00B448BA">
        <w:rPr>
          <w:rFonts w:ascii="Arial" w:hAnsi="Arial" w:cs="Arial"/>
          <w:sz w:val="20"/>
          <w:szCs w:val="20"/>
        </w:rPr>
        <w:t>; and</w:t>
      </w:r>
    </w:p>
    <w:p w:rsidR="00CC188A" w:rsidRPr="00B448BA" w:rsidRDefault="0038317B" w:rsidP="0085477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a</w:t>
      </w:r>
      <w:r w:rsidR="00CC188A" w:rsidRPr="00B448BA">
        <w:rPr>
          <w:rFonts w:ascii="Arial" w:hAnsi="Arial" w:cs="Arial"/>
          <w:sz w:val="20"/>
          <w:szCs w:val="20"/>
        </w:rPr>
        <w:t xml:space="preserve">dvise the CCC of any amendments made to the </w:t>
      </w:r>
      <w:r w:rsidR="00CC188A" w:rsidRPr="00B448BA">
        <w:rPr>
          <w:rFonts w:ascii="Arial" w:hAnsi="Arial" w:cs="Arial"/>
          <w:i/>
          <w:sz w:val="20"/>
          <w:szCs w:val="20"/>
        </w:rPr>
        <w:t>Management of Public Official Complaints Policy</w:t>
      </w:r>
      <w:r w:rsidRPr="00B448BA">
        <w:rPr>
          <w:rFonts w:ascii="Arial" w:hAnsi="Arial" w:cs="Arial"/>
          <w:sz w:val="20"/>
          <w:szCs w:val="20"/>
        </w:rPr>
        <w:t>.</w:t>
      </w:r>
    </w:p>
    <w:p w:rsidR="005076DC" w:rsidRPr="00B448BA" w:rsidRDefault="00CC188A" w:rsidP="005076DC">
      <w:pPr>
        <w:rPr>
          <w:rFonts w:cs="Arial"/>
        </w:rPr>
      </w:pPr>
      <w:r w:rsidRPr="00B448BA">
        <w:rPr>
          <w:rFonts w:cs="Arial"/>
        </w:rPr>
        <w:tab/>
      </w:r>
      <w:r w:rsidR="00854776" w:rsidRPr="00B448BA">
        <w:rPr>
          <w:rFonts w:cs="Arial"/>
        </w:rPr>
        <w:t>The</w:t>
      </w:r>
      <w:r w:rsidR="00854776" w:rsidRPr="00B448BA">
        <w:rPr>
          <w:rFonts w:cs="Arial"/>
          <w:b/>
        </w:rPr>
        <w:t xml:space="preserve"> </w:t>
      </w:r>
      <w:r w:rsidR="00BA7AE2" w:rsidRPr="00B448BA">
        <w:rPr>
          <w:rFonts w:cs="Arial"/>
          <w:b/>
        </w:rPr>
        <w:t>Nominated Person</w:t>
      </w:r>
      <w:r w:rsidR="00854776" w:rsidRPr="00B448BA">
        <w:rPr>
          <w:rFonts w:cs="Arial"/>
        </w:rPr>
        <w:t xml:space="preserve"> must:</w:t>
      </w:r>
    </w:p>
    <w:p w:rsidR="00854776" w:rsidRPr="00B448BA" w:rsidRDefault="0038317B" w:rsidP="001C7A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n</w:t>
      </w:r>
      <w:r w:rsidR="001C7AF4" w:rsidRPr="00B448BA">
        <w:rPr>
          <w:rFonts w:ascii="Arial" w:hAnsi="Arial" w:cs="Arial"/>
          <w:sz w:val="20"/>
          <w:szCs w:val="20"/>
        </w:rPr>
        <w:t xml:space="preserve">otify the CCC when he or she reasonable suspects that a complaint may involve corrupt conduct  of Stanwell’s Public Official;  </w:t>
      </w:r>
    </w:p>
    <w:p w:rsidR="001C7AF4" w:rsidRPr="00B448BA" w:rsidRDefault="001C7AF4" w:rsidP="001C7A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at all times, use his or her best endeavours to act independently, impartially and fairly having regard to the:</w:t>
      </w:r>
    </w:p>
    <w:p w:rsidR="001C7AF4" w:rsidRPr="00B448BA" w:rsidRDefault="001C7AF4" w:rsidP="001C7AF4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purposes of the CC Act;</w:t>
      </w:r>
    </w:p>
    <w:p w:rsidR="001C7AF4" w:rsidRPr="00B448BA" w:rsidRDefault="001C7AF4" w:rsidP="001C7AF4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the importance of promoting the public confidence in the way suspected corrupt conduct in Stanwell is dealt with; and</w:t>
      </w:r>
    </w:p>
    <w:p w:rsidR="001C7AF4" w:rsidRPr="00B448BA" w:rsidRDefault="001C7AF4" w:rsidP="001C7AF4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Stanwell’s statutory, policy and procedural framework.</w:t>
      </w:r>
    </w:p>
    <w:p w:rsidR="001C7AF4" w:rsidRPr="00B448BA" w:rsidRDefault="00A47162" w:rsidP="001C7A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448BA">
        <w:rPr>
          <w:rFonts w:ascii="Arial" w:hAnsi="Arial" w:cs="Arial"/>
          <w:sz w:val="20"/>
          <w:szCs w:val="20"/>
        </w:rPr>
        <w:t>a</w:t>
      </w:r>
      <w:r w:rsidR="001C7AF4" w:rsidRPr="00B448BA">
        <w:rPr>
          <w:rFonts w:ascii="Arial" w:hAnsi="Arial" w:cs="Arial"/>
          <w:sz w:val="20"/>
          <w:szCs w:val="20"/>
        </w:rPr>
        <w:t>ppoint appropriately qualified parties to undertake an investigation of the complaint</w:t>
      </w:r>
      <w:r w:rsidR="004B1602" w:rsidRPr="00B448BA">
        <w:rPr>
          <w:rFonts w:ascii="Arial" w:hAnsi="Arial" w:cs="Arial"/>
          <w:sz w:val="20"/>
          <w:szCs w:val="20"/>
        </w:rPr>
        <w:t>; and</w:t>
      </w:r>
    </w:p>
    <w:p w:rsidR="005076DC" w:rsidRPr="00C85DEE" w:rsidRDefault="00A47162" w:rsidP="005076D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5DEE">
        <w:rPr>
          <w:rFonts w:ascii="Arial" w:hAnsi="Arial" w:cs="Arial"/>
          <w:sz w:val="20"/>
          <w:szCs w:val="20"/>
        </w:rPr>
        <w:t>report to the Stanwell Board as required.</w:t>
      </w:r>
    </w:p>
    <w:p w:rsidR="007901D6" w:rsidRDefault="007901D6" w:rsidP="00B448BA">
      <w:pPr>
        <w:pStyle w:val="SCL-Heading1"/>
      </w:pPr>
      <w:r w:rsidRPr="00B531DB">
        <w:t>Review</w:t>
      </w:r>
      <w:r>
        <w:t xml:space="preserve">, </w:t>
      </w:r>
      <w:r w:rsidRPr="00B531DB">
        <w:t xml:space="preserve">Consultation </w:t>
      </w:r>
      <w:r>
        <w:t>and Communication</w:t>
      </w:r>
    </w:p>
    <w:p w:rsidR="007901D6" w:rsidRPr="00C85DEE" w:rsidRDefault="007901D6" w:rsidP="00C85DEE">
      <w:pPr>
        <w:pStyle w:val="SCL-ContentText"/>
        <w:spacing w:after="120"/>
      </w:pPr>
      <w:r w:rsidRPr="00C85DEE">
        <w:t xml:space="preserve">This </w:t>
      </w:r>
      <w:r w:rsidR="004B1602" w:rsidRPr="00C85DEE">
        <w:t>Policy</w:t>
      </w:r>
      <w:r w:rsidRPr="00C85DEE">
        <w:t xml:space="preserve"> is required to be reviewed, as a minimum, every </w:t>
      </w:r>
      <w:r w:rsidR="00CC188A" w:rsidRPr="00C85DEE">
        <w:t xml:space="preserve">2 years. </w:t>
      </w:r>
    </w:p>
    <w:p w:rsidR="00C85DEE" w:rsidRDefault="00C85DEE" w:rsidP="00C85DEE">
      <w:r>
        <w:br w:type="page"/>
      </w:r>
    </w:p>
    <w:p w:rsidR="007901D6" w:rsidRDefault="007901D6" w:rsidP="00B448BA">
      <w:pPr>
        <w:pStyle w:val="SCL-Heading1"/>
      </w:pPr>
      <w:r w:rsidRPr="00B531DB">
        <w:t>Definitions</w:t>
      </w:r>
    </w:p>
    <w:tbl>
      <w:tblPr>
        <w:tblStyle w:val="TableGrid1"/>
        <w:tblW w:w="8381" w:type="dxa"/>
        <w:tblInd w:w="828" w:type="dxa"/>
        <w:tblLook w:val="04A0" w:firstRow="1" w:lastRow="0" w:firstColumn="1" w:lastColumn="0" w:noHBand="0" w:noVBand="1"/>
      </w:tblPr>
      <w:tblGrid>
        <w:gridCol w:w="2286"/>
        <w:gridCol w:w="6095"/>
      </w:tblGrid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CCC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means the Crime and Corruption Commission  in existence under the </w:t>
            </w:r>
            <w:r w:rsidRPr="00C85DEE">
              <w:rPr>
                <w:rFonts w:cs="Arial"/>
                <w:i/>
              </w:rPr>
              <w:t>Crime and Corruption Act 2001</w:t>
            </w:r>
            <w:r w:rsidRPr="00C85DEE">
              <w:rPr>
                <w:rFonts w:cs="Arial"/>
              </w:rPr>
              <w:t xml:space="preserve"> (Qld).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CC Act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means the </w:t>
            </w:r>
            <w:r w:rsidRPr="00C85DEE">
              <w:rPr>
                <w:rFonts w:cs="Arial"/>
                <w:i/>
              </w:rPr>
              <w:t>Crime and Corruption Act 2001</w:t>
            </w:r>
            <w:r w:rsidRPr="00C85DEE">
              <w:rPr>
                <w:rFonts w:cs="Arial"/>
              </w:rPr>
              <w:t xml:space="preserve"> (Qld).</w:t>
            </w: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Complaint 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means information or matter.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Contact Details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means the contact details provided in section 3.2 of this Policy.</w:t>
            </w:r>
          </w:p>
        </w:tc>
      </w:tr>
      <w:tr w:rsidR="00C85DEE" w:rsidRPr="00C85DEE" w:rsidTr="00C85DEE">
        <w:trPr>
          <w:trHeight w:val="389"/>
        </w:trPr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Corruption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t>means corrupt conduct.</w:t>
            </w: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Corrupt Conduct 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is defined by s15 of the </w:t>
            </w:r>
            <w:r w:rsidRPr="00C85DEE">
              <w:rPr>
                <w:rFonts w:cs="Arial"/>
                <w:i/>
              </w:rPr>
              <w:t>Crime and Corruption Act 2001</w:t>
            </w:r>
            <w:r w:rsidRPr="00C85DEE">
              <w:rPr>
                <w:rFonts w:cs="Arial"/>
              </w:rPr>
              <w:t xml:space="preserve"> (Qld). The conduct in question must satisfy a number of cumulative threshold tests, being whether the conduct: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>adversely affects, or could adversely affect, directly or indirectly, the performance of functions or the exercise of powers of an agency or a public office holder; and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>results, or could result, directly or indirectly, in the performance of functions or exercise of powers in a way that is not honest or impartial; involves a breach of the public trust; or involves a misuse of information; and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>is engaged in for the purpose of providing a benefit to the person or another person or causing a detriment to another person; and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>would, if proved, be a criminal offence or a disciplinary breach providing reasonable grounds for terminating the person's services.</w:t>
            </w:r>
            <w:r w:rsidRPr="00C85DEE">
              <w:rPr>
                <w:rFonts w:eastAsiaTheme="minorHAnsi" w:cs="Arial"/>
                <w:lang w:eastAsia="en-US"/>
              </w:rPr>
              <w:br/>
            </w: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Nominated Person(s)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means the Executive General Manager Business Services (or in his or her absence or if the complaint also involves the Executive General Manager Business Services, the Company Secretary). 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Deal with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 xml:space="preserve">means deal with a complaint about corruption or information or matter involving corruption, and includes: 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investigating  the complaint, information or matter; and </w:t>
            </w:r>
          </w:p>
          <w:p w:rsidR="00C85DEE" w:rsidRPr="00C85DEE" w:rsidRDefault="00C85DEE" w:rsidP="00C85DEE">
            <w:pPr>
              <w:numPr>
                <w:ilvl w:val="0"/>
                <w:numId w:val="4"/>
              </w:numPr>
              <w:ind w:left="239" w:hanging="239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>gathering  evidence for:</w:t>
            </w:r>
          </w:p>
          <w:p w:rsidR="00C85DEE" w:rsidRPr="00C85DEE" w:rsidRDefault="00C85DEE" w:rsidP="00C85DEE">
            <w:pPr>
              <w:numPr>
                <w:ilvl w:val="1"/>
                <w:numId w:val="14"/>
              </w:numPr>
              <w:spacing w:after="200" w:line="276" w:lineRule="auto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prosecutions for offences; or </w:t>
            </w:r>
          </w:p>
          <w:p w:rsidR="00C85DEE" w:rsidRPr="00C85DEE" w:rsidRDefault="00C85DEE" w:rsidP="00C85DEE">
            <w:pPr>
              <w:numPr>
                <w:ilvl w:val="1"/>
                <w:numId w:val="14"/>
              </w:numPr>
              <w:spacing w:after="200" w:line="276" w:lineRule="auto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disciplinary proceedings; and </w:t>
            </w:r>
          </w:p>
          <w:p w:rsidR="00C85DEE" w:rsidRPr="00C85DEE" w:rsidRDefault="00C85DEE" w:rsidP="00C85DEE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referring the complaint, information or matter to an appropriate authority to start a prosecution or disciplinary proceeding; and </w:t>
            </w:r>
          </w:p>
          <w:p w:rsidR="00C85DEE" w:rsidRPr="00C85DEE" w:rsidRDefault="00C85DEE" w:rsidP="00C85DEE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start a disciplinary proceeding; and </w:t>
            </w:r>
          </w:p>
          <w:p w:rsidR="00C85DEE" w:rsidRPr="00C85DEE" w:rsidRDefault="00C85DEE" w:rsidP="00C85DEE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HAnsi" w:cs="Arial"/>
                <w:lang w:eastAsia="en-US"/>
              </w:rPr>
            </w:pPr>
            <w:r w:rsidRPr="00C85DEE">
              <w:rPr>
                <w:rFonts w:eastAsiaTheme="minorHAnsi" w:cs="Arial"/>
                <w:lang w:eastAsia="en-US"/>
              </w:rPr>
              <w:t xml:space="preserve">take other action, including managerial action, to address the complaint in an appropriate way. </w:t>
            </w: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Public Official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means Stanwell’s Chief Executive Officer or a person appointed by  the Stanwell Board to act in that role.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Protected Disclosure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means a disclosure made in accordance with Stanwell’s Protected Disclosure Procedure (GOV-PROC-36).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  <w:tr w:rsidR="00C85DEE" w:rsidRPr="00C85DEE" w:rsidTr="00C85DEE">
        <w:tc>
          <w:tcPr>
            <w:tcW w:w="2286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Stanwell</w:t>
            </w:r>
          </w:p>
        </w:tc>
        <w:tc>
          <w:tcPr>
            <w:tcW w:w="6095" w:type="dxa"/>
          </w:tcPr>
          <w:p w:rsidR="00C85DEE" w:rsidRPr="00C85DEE" w:rsidRDefault="00C85DEE" w:rsidP="00C85DEE">
            <w:pPr>
              <w:rPr>
                <w:rFonts w:cs="Arial"/>
              </w:rPr>
            </w:pPr>
            <w:r w:rsidRPr="00C85DEE">
              <w:rPr>
                <w:rFonts w:cs="Arial"/>
              </w:rPr>
              <w:t>means Stanwell Corporation Limited.</w:t>
            </w:r>
          </w:p>
          <w:p w:rsidR="00C85DEE" w:rsidRPr="00C85DEE" w:rsidRDefault="00C85DEE" w:rsidP="00C85DEE">
            <w:pPr>
              <w:rPr>
                <w:rFonts w:cs="Arial"/>
              </w:rPr>
            </w:pPr>
          </w:p>
        </w:tc>
      </w:tr>
    </w:tbl>
    <w:p w:rsidR="00C85DEE" w:rsidRDefault="00C85DEE" w:rsidP="00C85DEE">
      <w:r>
        <w:br w:type="page"/>
      </w:r>
    </w:p>
    <w:p w:rsidR="007901D6" w:rsidRPr="00B531DB" w:rsidRDefault="007901D6" w:rsidP="00B448BA">
      <w:pPr>
        <w:pStyle w:val="SCL-Heading1"/>
      </w:pPr>
      <w:r w:rsidRPr="00B531DB">
        <w:t>References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2628"/>
        <w:gridCol w:w="6372"/>
      </w:tblGrid>
      <w:tr w:rsidR="00837F48" w:rsidRPr="00FB6E3E" w:rsidTr="00641F96">
        <w:tc>
          <w:tcPr>
            <w:tcW w:w="2628" w:type="dxa"/>
            <w:shd w:val="clear" w:color="auto" w:fill="auto"/>
          </w:tcPr>
          <w:p w:rsidR="00837F48" w:rsidRPr="00FB6E3E" w:rsidRDefault="00C85DEE" w:rsidP="00641F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18"/>
              </w:rPr>
              <w:t>GOV-POL-30</w:t>
            </w:r>
          </w:p>
        </w:tc>
        <w:tc>
          <w:tcPr>
            <w:tcW w:w="6372" w:type="dxa"/>
            <w:shd w:val="clear" w:color="auto" w:fill="auto"/>
          </w:tcPr>
          <w:p w:rsidR="00837F48" w:rsidRPr="00FB6E3E" w:rsidRDefault="00C85DEE" w:rsidP="00641F96">
            <w:pPr>
              <w:rPr>
                <w:rFonts w:cs="Arial"/>
                <w:szCs w:val="22"/>
              </w:rPr>
            </w:pPr>
            <w:r w:rsidRPr="00CC188A">
              <w:rPr>
                <w:rFonts w:cs="Arial"/>
                <w:szCs w:val="18"/>
              </w:rPr>
              <w:t>The Code of Conduct – the way we work at Stanwell</w:t>
            </w:r>
          </w:p>
        </w:tc>
      </w:tr>
      <w:tr w:rsidR="00C85DEE" w:rsidRPr="00FB6E3E" w:rsidTr="00641F96">
        <w:tc>
          <w:tcPr>
            <w:tcW w:w="2628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18"/>
              </w:rPr>
              <w:t>GOV-POL-29</w:t>
            </w:r>
          </w:p>
        </w:tc>
        <w:tc>
          <w:tcPr>
            <w:tcW w:w="6372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  <w:r w:rsidRPr="00CC188A">
              <w:rPr>
                <w:rFonts w:cs="Arial"/>
                <w:szCs w:val="18"/>
              </w:rPr>
              <w:t xml:space="preserve">The </w:t>
            </w:r>
            <w:proofErr w:type="spellStart"/>
            <w:r w:rsidRPr="00CC188A">
              <w:rPr>
                <w:rFonts w:cs="Arial"/>
                <w:szCs w:val="18"/>
              </w:rPr>
              <w:t>Whistleblower</w:t>
            </w:r>
            <w:proofErr w:type="spellEnd"/>
            <w:r w:rsidRPr="00CC188A">
              <w:rPr>
                <w:rFonts w:cs="Arial"/>
                <w:szCs w:val="18"/>
              </w:rPr>
              <w:t xml:space="preserve"> Protection Policy</w:t>
            </w:r>
          </w:p>
        </w:tc>
      </w:tr>
      <w:tr w:rsidR="00C85DEE" w:rsidRPr="00FB6E3E" w:rsidTr="00641F96">
        <w:tc>
          <w:tcPr>
            <w:tcW w:w="2628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18"/>
              </w:rPr>
              <w:t>GOV-PROC-36</w:t>
            </w:r>
          </w:p>
        </w:tc>
        <w:tc>
          <w:tcPr>
            <w:tcW w:w="6372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  <w:r w:rsidRPr="00CC188A">
              <w:rPr>
                <w:rFonts w:cs="Arial"/>
                <w:szCs w:val="18"/>
              </w:rPr>
              <w:t>The Protected Disclosure Procedure</w:t>
            </w:r>
          </w:p>
        </w:tc>
      </w:tr>
      <w:tr w:rsidR="00C85DEE" w:rsidRPr="00FB6E3E" w:rsidTr="00641F96">
        <w:tc>
          <w:tcPr>
            <w:tcW w:w="2628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</w:p>
        </w:tc>
        <w:tc>
          <w:tcPr>
            <w:tcW w:w="6372" w:type="dxa"/>
            <w:shd w:val="clear" w:color="auto" w:fill="auto"/>
          </w:tcPr>
          <w:p w:rsidR="00C85DEE" w:rsidRPr="00FB6E3E" w:rsidRDefault="00C85DEE" w:rsidP="00641F96">
            <w:pPr>
              <w:rPr>
                <w:rFonts w:cs="Arial"/>
                <w:szCs w:val="22"/>
              </w:rPr>
            </w:pPr>
          </w:p>
        </w:tc>
      </w:tr>
    </w:tbl>
    <w:p w:rsidR="007901D6" w:rsidRPr="00B531DB" w:rsidRDefault="007901D6" w:rsidP="00B448BA">
      <w:pPr>
        <w:pStyle w:val="SCL-Heading1"/>
      </w:pPr>
      <w:r w:rsidRPr="00B531DB">
        <w:t>Revision History</w:t>
      </w:r>
    </w:p>
    <w:tbl>
      <w:tblPr>
        <w:tblW w:w="10611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80"/>
        <w:gridCol w:w="3760"/>
        <w:gridCol w:w="1611"/>
        <w:gridCol w:w="1611"/>
        <w:gridCol w:w="1449"/>
      </w:tblGrid>
      <w:tr w:rsidR="007901D6" w:rsidRPr="00235CDA" w:rsidTr="00641F96">
        <w:tc>
          <w:tcPr>
            <w:tcW w:w="900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 w:rsidRPr="00235CDA">
              <w:rPr>
                <w:b/>
                <w:sz w:val="18"/>
              </w:rPr>
              <w:t>Rev. No.</w:t>
            </w:r>
          </w:p>
        </w:tc>
        <w:tc>
          <w:tcPr>
            <w:tcW w:w="1280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 w:rsidRPr="00235CDA">
              <w:rPr>
                <w:b/>
                <w:sz w:val="18"/>
              </w:rPr>
              <w:t>Rev. Date</w:t>
            </w:r>
          </w:p>
        </w:tc>
        <w:tc>
          <w:tcPr>
            <w:tcW w:w="3760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 w:rsidRPr="00235CDA">
              <w:rPr>
                <w:b/>
                <w:sz w:val="18"/>
              </w:rPr>
              <w:t>Revision Description</w:t>
            </w: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 w:rsidRPr="00235CDA">
              <w:rPr>
                <w:b/>
                <w:sz w:val="18"/>
              </w:rPr>
              <w:t>Autho</w:t>
            </w:r>
            <w:r>
              <w:rPr>
                <w:b/>
                <w:sz w:val="18"/>
              </w:rPr>
              <w:t>r</w:t>
            </w: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Endorse/Check</w:t>
            </w:r>
          </w:p>
        </w:tc>
        <w:tc>
          <w:tcPr>
            <w:tcW w:w="1449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 w:rsidRPr="00235CDA">
              <w:rPr>
                <w:b/>
                <w:sz w:val="18"/>
              </w:rPr>
              <w:t xml:space="preserve"> By </w:t>
            </w:r>
          </w:p>
        </w:tc>
      </w:tr>
      <w:tr w:rsidR="007901D6" w:rsidRPr="00235CDA" w:rsidTr="00641F96">
        <w:tc>
          <w:tcPr>
            <w:tcW w:w="900" w:type="dxa"/>
          </w:tcPr>
          <w:p w:rsidR="007901D6" w:rsidRPr="00F148A8" w:rsidRDefault="007901D6" w:rsidP="00641F9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F148A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80" w:type="dxa"/>
          </w:tcPr>
          <w:p w:rsidR="007901D6" w:rsidRPr="00F148A8" w:rsidRDefault="00F148A8" w:rsidP="00641F9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F148A8">
              <w:rPr>
                <w:rFonts w:cs="Arial"/>
                <w:sz w:val="16"/>
                <w:szCs w:val="16"/>
              </w:rPr>
              <w:t>28.10.2014</w:t>
            </w:r>
          </w:p>
        </w:tc>
        <w:tc>
          <w:tcPr>
            <w:tcW w:w="3760" w:type="dxa"/>
          </w:tcPr>
          <w:p w:rsidR="007901D6" w:rsidRPr="00F148A8" w:rsidRDefault="00F148A8" w:rsidP="00641F96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  <w:r w:rsidRPr="00F148A8">
              <w:rPr>
                <w:rFonts w:cs="Arial"/>
                <w:sz w:val="16"/>
                <w:szCs w:val="16"/>
              </w:rPr>
              <w:t>New Policy developed to accord with requirements of section 48A of the Crime and Corruption Act 2001</w:t>
            </w:r>
            <w:r w:rsidR="007901D6" w:rsidRPr="00F148A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</w:tcPr>
          <w:p w:rsidR="007901D6" w:rsidRPr="00235CDA" w:rsidRDefault="00F148A8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 Buckley</w:t>
            </w:r>
          </w:p>
        </w:tc>
        <w:tc>
          <w:tcPr>
            <w:tcW w:w="1611" w:type="dxa"/>
          </w:tcPr>
          <w:p w:rsidR="007901D6" w:rsidRPr="00235CDA" w:rsidRDefault="00F148A8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 O’Rourke</w:t>
            </w:r>
          </w:p>
        </w:tc>
        <w:tc>
          <w:tcPr>
            <w:tcW w:w="1449" w:type="dxa"/>
          </w:tcPr>
          <w:p w:rsidR="007901D6" w:rsidRPr="00235CDA" w:rsidRDefault="00F148A8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Board </w:t>
            </w:r>
          </w:p>
        </w:tc>
      </w:tr>
      <w:tr w:rsidR="007901D6" w:rsidRPr="00235CDA" w:rsidTr="00641F96">
        <w:tc>
          <w:tcPr>
            <w:tcW w:w="900" w:type="dxa"/>
          </w:tcPr>
          <w:p w:rsidR="007901D6" w:rsidRPr="00F148A8" w:rsidRDefault="007901D6" w:rsidP="00641F9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F148A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80" w:type="dxa"/>
          </w:tcPr>
          <w:p w:rsidR="007901D6" w:rsidRPr="00235CDA" w:rsidRDefault="007901D6" w:rsidP="00641F96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3760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449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</w:tr>
      <w:tr w:rsidR="007901D6" w:rsidRPr="00235CDA" w:rsidTr="00641F96">
        <w:tc>
          <w:tcPr>
            <w:tcW w:w="900" w:type="dxa"/>
          </w:tcPr>
          <w:p w:rsidR="007901D6" w:rsidRPr="00F148A8" w:rsidRDefault="007901D6" w:rsidP="00641F96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F148A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80" w:type="dxa"/>
          </w:tcPr>
          <w:p w:rsidR="007901D6" w:rsidRPr="00235CDA" w:rsidRDefault="007901D6" w:rsidP="00641F96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3760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611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  <w:tc>
          <w:tcPr>
            <w:tcW w:w="1449" w:type="dxa"/>
          </w:tcPr>
          <w:p w:rsidR="007901D6" w:rsidRPr="00235CDA" w:rsidRDefault="007901D6" w:rsidP="00641F96">
            <w:pPr>
              <w:spacing w:before="40" w:after="40"/>
              <w:jc w:val="both"/>
              <w:rPr>
                <w:rFonts w:cs="Arial"/>
                <w:sz w:val="16"/>
              </w:rPr>
            </w:pPr>
          </w:p>
        </w:tc>
      </w:tr>
    </w:tbl>
    <w:p w:rsidR="007901D6" w:rsidRDefault="007901D6" w:rsidP="007901D6"/>
    <w:p w:rsidR="008D0EAC" w:rsidRDefault="008D0EAC" w:rsidP="00235CDA"/>
    <w:sectPr w:rsidR="008D0EAC" w:rsidSect="00B448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230" w:bottom="1440" w:left="1230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D1" w:rsidRDefault="00FE6ED1">
      <w:r>
        <w:separator/>
      </w:r>
    </w:p>
    <w:p w:rsidR="00FE6ED1" w:rsidRDefault="00FE6ED1"/>
  </w:endnote>
  <w:endnote w:type="continuationSeparator" w:id="0">
    <w:p w:rsidR="00FE6ED1" w:rsidRDefault="00FE6ED1">
      <w:r>
        <w:continuationSeparator/>
      </w:r>
    </w:p>
    <w:p w:rsidR="00FE6ED1" w:rsidRDefault="00FE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1" w:type="dxa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7"/>
      <w:gridCol w:w="2410"/>
      <w:gridCol w:w="2552"/>
      <w:gridCol w:w="1692"/>
    </w:tblGrid>
    <w:tr w:rsidR="007721E5" w:rsidRPr="00235CDA" w:rsidTr="00AF6C77">
      <w:tc>
        <w:tcPr>
          <w:tcW w:w="2977" w:type="dxa"/>
        </w:tcPr>
        <w:p w:rsidR="007721E5" w:rsidRPr="00235CDA" w:rsidRDefault="007721E5" w:rsidP="00C85DEE">
          <w:pPr>
            <w:tabs>
              <w:tab w:val="left" w:pos="2835"/>
              <w:tab w:val="left" w:pos="5387"/>
              <w:tab w:val="right" w:pos="8647"/>
            </w:tabs>
            <w:spacing w:before="120"/>
            <w:jc w:val="both"/>
            <w:rPr>
              <w:rFonts w:cs="Arial"/>
              <w:sz w:val="16"/>
            </w:rPr>
          </w:pPr>
          <w:r w:rsidRPr="00235CDA">
            <w:rPr>
              <w:rFonts w:cs="Arial"/>
              <w:sz w:val="16"/>
            </w:rPr>
            <w:t xml:space="preserve">Doc No: </w:t>
          </w:r>
          <w:r w:rsidR="00C85DEE">
            <w:rPr>
              <w:rFonts w:cs="Arial"/>
              <w:sz w:val="16"/>
            </w:rPr>
            <w:t>GOV-POL-36</w:t>
          </w:r>
        </w:p>
      </w:tc>
      <w:tc>
        <w:tcPr>
          <w:tcW w:w="2410" w:type="dxa"/>
        </w:tcPr>
        <w:p w:rsidR="007721E5" w:rsidRPr="00235CDA" w:rsidRDefault="007721E5" w:rsidP="003459D5">
          <w:pPr>
            <w:tabs>
              <w:tab w:val="left" w:pos="2835"/>
              <w:tab w:val="left" w:pos="5387"/>
              <w:tab w:val="right" w:pos="8647"/>
            </w:tabs>
            <w:spacing w:before="120"/>
            <w:rPr>
              <w:rFonts w:cs="Arial"/>
              <w:sz w:val="16"/>
            </w:rPr>
          </w:pPr>
          <w:r w:rsidRPr="00235CDA">
            <w:rPr>
              <w:rFonts w:cs="Arial"/>
              <w:sz w:val="16"/>
            </w:rPr>
            <w:t xml:space="preserve">Rev: </w:t>
          </w:r>
          <w:r w:rsidR="007025AD">
            <w:rPr>
              <w:rFonts w:cs="Arial"/>
              <w:sz w:val="16"/>
            </w:rPr>
            <w:t>0</w:t>
          </w:r>
        </w:p>
      </w:tc>
      <w:tc>
        <w:tcPr>
          <w:tcW w:w="2552" w:type="dxa"/>
        </w:tcPr>
        <w:p w:rsidR="007721E5" w:rsidRPr="00235CDA" w:rsidRDefault="007721E5" w:rsidP="00C85DEE">
          <w:pPr>
            <w:tabs>
              <w:tab w:val="left" w:pos="2835"/>
              <w:tab w:val="left" w:pos="5387"/>
              <w:tab w:val="right" w:pos="8647"/>
            </w:tabs>
            <w:spacing w:before="120"/>
            <w:rPr>
              <w:rFonts w:cs="Arial"/>
              <w:sz w:val="16"/>
            </w:rPr>
          </w:pPr>
          <w:r w:rsidRPr="00235CDA">
            <w:rPr>
              <w:rFonts w:cs="Arial"/>
              <w:sz w:val="16"/>
            </w:rPr>
            <w:t xml:space="preserve">Rev Date: </w:t>
          </w:r>
          <w:r w:rsidR="00C85DEE">
            <w:rPr>
              <w:rFonts w:cs="Arial"/>
              <w:sz w:val="16"/>
            </w:rPr>
            <w:t>28.10.2014</w:t>
          </w:r>
        </w:p>
      </w:tc>
      <w:tc>
        <w:tcPr>
          <w:tcW w:w="1692" w:type="dxa"/>
        </w:tcPr>
        <w:p w:rsidR="007721E5" w:rsidRPr="003459D5" w:rsidRDefault="007721E5" w:rsidP="00235CDA">
          <w:pPr>
            <w:tabs>
              <w:tab w:val="left" w:pos="2835"/>
              <w:tab w:val="left" w:pos="5387"/>
              <w:tab w:val="right" w:pos="8647"/>
            </w:tabs>
            <w:spacing w:before="120"/>
            <w:jc w:val="right"/>
            <w:rPr>
              <w:rFonts w:cs="Arial"/>
              <w:sz w:val="16"/>
            </w:rPr>
          </w:pPr>
          <w:r w:rsidRPr="003459D5">
            <w:rPr>
              <w:rFonts w:cs="Arial"/>
              <w:snapToGrid w:val="0"/>
              <w:sz w:val="16"/>
            </w:rPr>
            <w:t xml:space="preserve">Page </w:t>
          </w:r>
          <w:r w:rsidRPr="003459D5">
            <w:rPr>
              <w:rFonts w:cs="Arial"/>
              <w:snapToGrid w:val="0"/>
              <w:sz w:val="16"/>
            </w:rPr>
            <w:fldChar w:fldCharType="begin"/>
          </w:r>
          <w:r w:rsidRPr="003459D5">
            <w:rPr>
              <w:rFonts w:cs="Arial"/>
              <w:snapToGrid w:val="0"/>
              <w:sz w:val="16"/>
            </w:rPr>
            <w:instrText xml:space="preserve"> PAGE </w:instrText>
          </w:r>
          <w:r w:rsidRPr="003459D5">
            <w:rPr>
              <w:rFonts w:cs="Arial"/>
              <w:snapToGrid w:val="0"/>
              <w:sz w:val="16"/>
            </w:rPr>
            <w:fldChar w:fldCharType="separate"/>
          </w:r>
          <w:r w:rsidR="007A5DA1">
            <w:rPr>
              <w:rFonts w:cs="Arial"/>
              <w:noProof/>
              <w:snapToGrid w:val="0"/>
              <w:sz w:val="16"/>
            </w:rPr>
            <w:t>5</w:t>
          </w:r>
          <w:r w:rsidRPr="003459D5">
            <w:rPr>
              <w:rFonts w:cs="Arial"/>
              <w:snapToGrid w:val="0"/>
              <w:sz w:val="16"/>
            </w:rPr>
            <w:fldChar w:fldCharType="end"/>
          </w:r>
          <w:r w:rsidRPr="003459D5">
            <w:rPr>
              <w:rFonts w:cs="Arial"/>
              <w:snapToGrid w:val="0"/>
              <w:sz w:val="16"/>
            </w:rPr>
            <w:t xml:space="preserve"> of </w:t>
          </w:r>
          <w:r w:rsidRPr="003459D5">
            <w:rPr>
              <w:rStyle w:val="PageNumber"/>
              <w:rFonts w:cs="Arial"/>
            </w:rPr>
            <w:fldChar w:fldCharType="begin"/>
          </w:r>
          <w:r w:rsidRPr="003459D5">
            <w:rPr>
              <w:rStyle w:val="PageNumber"/>
              <w:rFonts w:cs="Arial"/>
            </w:rPr>
            <w:instrText xml:space="preserve"> NUMPAGES </w:instrText>
          </w:r>
          <w:r w:rsidRPr="003459D5">
            <w:rPr>
              <w:rStyle w:val="PageNumber"/>
              <w:rFonts w:cs="Arial"/>
            </w:rPr>
            <w:fldChar w:fldCharType="separate"/>
          </w:r>
          <w:r w:rsidR="007A5DA1">
            <w:rPr>
              <w:rStyle w:val="PageNumber"/>
              <w:rFonts w:cs="Arial"/>
              <w:noProof/>
            </w:rPr>
            <w:t>5</w:t>
          </w:r>
          <w:r w:rsidRPr="003459D5">
            <w:rPr>
              <w:rStyle w:val="PageNumber"/>
              <w:rFonts w:cs="Arial"/>
            </w:rPr>
            <w:fldChar w:fldCharType="end"/>
          </w:r>
        </w:p>
      </w:tc>
    </w:tr>
  </w:tbl>
  <w:p w:rsidR="007721E5" w:rsidRPr="00235CDA" w:rsidRDefault="007721E5" w:rsidP="00235CDA">
    <w:pPr>
      <w:tabs>
        <w:tab w:val="center" w:pos="4153"/>
        <w:tab w:val="right" w:pos="8306"/>
      </w:tabs>
      <w:jc w:val="center"/>
      <w:rPr>
        <w:rFonts w:cs="Arial"/>
        <w:b/>
        <w:sz w:val="18"/>
        <w:szCs w:val="18"/>
      </w:rPr>
    </w:pPr>
    <w:r w:rsidRPr="00235CDA">
      <w:rPr>
        <w:rFonts w:cs="Arial"/>
        <w:b/>
        <w:sz w:val="18"/>
        <w:szCs w:val="18"/>
      </w:rPr>
      <w:t>THIS DOCUMENT IS UNCONTROLLED IN HARD COPY FORMAT</w:t>
    </w:r>
  </w:p>
  <w:p w:rsidR="007721E5" w:rsidRDefault="007721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972"/>
      <w:gridCol w:w="1843"/>
      <w:gridCol w:w="871"/>
      <w:gridCol w:w="2267"/>
      <w:gridCol w:w="851"/>
      <w:gridCol w:w="1134"/>
    </w:tblGrid>
    <w:tr w:rsidR="007721E5" w:rsidRPr="00235CDA" w:rsidTr="00AF6C77">
      <w:tc>
        <w:tcPr>
          <w:tcW w:w="2835" w:type="dxa"/>
          <w:tcBorders>
            <w:left w:val="nil"/>
            <w:bottom w:val="single" w:sz="4" w:space="0" w:color="auto"/>
            <w:right w:val="nil"/>
          </w:tcBorders>
        </w:tcPr>
        <w:p w:rsidR="007721E5" w:rsidRPr="00235CDA" w:rsidRDefault="007721E5" w:rsidP="00CA5801">
          <w:pPr>
            <w:tabs>
              <w:tab w:val="left" w:pos="3436"/>
              <w:tab w:val="right" w:pos="8505"/>
            </w:tabs>
            <w:spacing w:before="3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WRITTEN BY: ..................................</w:t>
          </w:r>
        </w:p>
        <w:p w:rsidR="007721E5" w:rsidRPr="00235CDA" w:rsidRDefault="00C85DEE" w:rsidP="00C85DEE">
          <w:pPr>
            <w:tabs>
              <w:tab w:val="left" w:pos="3402"/>
              <w:tab w:val="right" w:pos="8505"/>
            </w:tabs>
            <w:spacing w:after="60"/>
            <w:ind w:left="31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Name: </w:t>
          </w:r>
          <w:r w:rsidR="007025AD">
            <w:rPr>
              <w:rFonts w:cs="Arial"/>
              <w:sz w:val="16"/>
              <w:szCs w:val="16"/>
            </w:rPr>
            <w:t>K</w:t>
          </w:r>
          <w:r>
            <w:rPr>
              <w:rFonts w:cs="Arial"/>
              <w:sz w:val="16"/>
              <w:szCs w:val="16"/>
            </w:rPr>
            <w:t>aren Buckley</w:t>
          </w:r>
          <w:r w:rsidR="007721E5" w:rsidRPr="00235CDA">
            <w:rPr>
              <w:rFonts w:cs="Arial"/>
              <w:sz w:val="16"/>
              <w:szCs w:val="16"/>
            </w:rPr>
            <w:t xml:space="preserve">: </w:t>
          </w:r>
        </w:p>
      </w:tc>
      <w:tc>
        <w:tcPr>
          <w:tcW w:w="3686" w:type="dxa"/>
          <w:gridSpan w:val="3"/>
          <w:tcBorders>
            <w:left w:val="nil"/>
            <w:bottom w:val="single" w:sz="4" w:space="0" w:color="auto"/>
            <w:right w:val="nil"/>
          </w:tcBorders>
        </w:tcPr>
        <w:p w:rsidR="007721E5" w:rsidRPr="00235CDA" w:rsidRDefault="007721E5" w:rsidP="00CA5801">
          <w:pPr>
            <w:tabs>
              <w:tab w:val="left" w:pos="3436"/>
              <w:tab w:val="right" w:pos="8505"/>
            </w:tabs>
            <w:spacing w:before="3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ENDORSED/CHECKED BY: ..............................</w:t>
          </w:r>
        </w:p>
        <w:p w:rsidR="007721E5" w:rsidRPr="00235CDA" w:rsidRDefault="00C85DEE" w:rsidP="00C85DEE">
          <w:pPr>
            <w:tabs>
              <w:tab w:val="left" w:pos="3402"/>
              <w:tab w:val="right" w:pos="8505"/>
            </w:tabs>
            <w:spacing w:before="60"/>
            <w:ind w:right="-108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Name: Michael O’Rourke</w:t>
          </w:r>
          <w:r w:rsidR="007721E5" w:rsidRPr="00235CDA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3118" w:type="dxa"/>
          <w:gridSpan w:val="2"/>
          <w:tcBorders>
            <w:left w:val="nil"/>
            <w:bottom w:val="single" w:sz="4" w:space="0" w:color="auto"/>
            <w:right w:val="nil"/>
          </w:tcBorders>
        </w:tcPr>
        <w:p w:rsidR="007721E5" w:rsidRPr="00235CDA" w:rsidRDefault="007721E5" w:rsidP="00CA5801">
          <w:pPr>
            <w:tabs>
              <w:tab w:val="left" w:pos="3436"/>
              <w:tab w:val="right" w:pos="8505"/>
            </w:tabs>
            <w:spacing w:before="3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APPROVED BY: ....................................</w:t>
          </w:r>
        </w:p>
        <w:p w:rsidR="007721E5" w:rsidRPr="00235CDA" w:rsidRDefault="00C85DEE" w:rsidP="00C85DEE">
          <w:pPr>
            <w:tabs>
              <w:tab w:val="right" w:pos="8505"/>
            </w:tabs>
            <w:spacing w:before="60"/>
            <w:ind w:left="318" w:right="-136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Name: Richard Van Breda</w:t>
          </w:r>
        </w:p>
      </w:tc>
      <w:tc>
        <w:tcPr>
          <w:tcW w:w="1134" w:type="dxa"/>
          <w:tcBorders>
            <w:left w:val="nil"/>
            <w:bottom w:val="single" w:sz="4" w:space="0" w:color="auto"/>
            <w:right w:val="nil"/>
          </w:tcBorders>
        </w:tcPr>
        <w:p w:rsidR="007721E5" w:rsidRPr="00235CDA" w:rsidRDefault="007721E5" w:rsidP="00235CDA">
          <w:pPr>
            <w:tabs>
              <w:tab w:val="left" w:pos="3719"/>
              <w:tab w:val="right" w:pos="8505"/>
            </w:tabs>
            <w:spacing w:before="3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DATE: ........</w:t>
          </w:r>
        </w:p>
      </w:tc>
    </w:tr>
    <w:tr w:rsidR="007721E5" w:rsidRPr="00235CDA" w:rsidTr="00C85DEE">
      <w:tc>
        <w:tcPr>
          <w:tcW w:w="3807" w:type="dxa"/>
          <w:gridSpan w:val="2"/>
          <w:tcBorders>
            <w:left w:val="nil"/>
            <w:bottom w:val="single" w:sz="4" w:space="0" w:color="auto"/>
          </w:tcBorders>
        </w:tcPr>
        <w:p w:rsidR="007721E5" w:rsidRPr="00235CDA" w:rsidRDefault="007721E5" w:rsidP="00C85DEE">
          <w:pPr>
            <w:pStyle w:val="Footer"/>
            <w:tabs>
              <w:tab w:val="clear" w:pos="4153"/>
              <w:tab w:val="clear" w:pos="8306"/>
              <w:tab w:val="left" w:pos="2835"/>
              <w:tab w:val="left" w:pos="5387"/>
              <w:tab w:val="right" w:pos="8647"/>
            </w:tabs>
            <w:spacing w:before="60" w:after="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Doc No:</w:t>
          </w:r>
          <w:r w:rsidR="00C85DEE">
            <w:rPr>
              <w:rFonts w:cs="Arial"/>
              <w:sz w:val="16"/>
              <w:szCs w:val="16"/>
            </w:rPr>
            <w:t>GOV-POL-36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:rsidR="007721E5" w:rsidRPr="00235CDA" w:rsidRDefault="007721E5" w:rsidP="00235CDA">
          <w:pPr>
            <w:pStyle w:val="Footer"/>
            <w:tabs>
              <w:tab w:val="clear" w:pos="4153"/>
              <w:tab w:val="clear" w:pos="8306"/>
              <w:tab w:val="left" w:pos="2835"/>
              <w:tab w:val="left" w:pos="5387"/>
              <w:tab w:val="right" w:pos="8647"/>
            </w:tabs>
            <w:spacing w:before="60" w:after="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 xml:space="preserve">Revision No: </w:t>
          </w:r>
          <w:r w:rsidR="007025AD">
            <w:rPr>
              <w:rFonts w:cs="Arial"/>
              <w:sz w:val="16"/>
              <w:szCs w:val="16"/>
            </w:rPr>
            <w:t>0</w:t>
          </w:r>
        </w:p>
      </w:tc>
      <w:tc>
        <w:tcPr>
          <w:tcW w:w="3138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:rsidR="007721E5" w:rsidRPr="00235CDA" w:rsidRDefault="007721E5" w:rsidP="00C85DEE">
          <w:pPr>
            <w:pStyle w:val="Footer"/>
            <w:tabs>
              <w:tab w:val="clear" w:pos="4153"/>
              <w:tab w:val="clear" w:pos="8306"/>
              <w:tab w:val="left" w:pos="2835"/>
              <w:tab w:val="left" w:pos="5387"/>
              <w:tab w:val="right" w:pos="8647"/>
            </w:tabs>
            <w:spacing w:before="60" w:after="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 xml:space="preserve">Revision Date: </w:t>
          </w:r>
          <w:r w:rsidR="00C85DEE">
            <w:rPr>
              <w:rFonts w:cs="Arial"/>
              <w:sz w:val="16"/>
              <w:szCs w:val="16"/>
            </w:rPr>
            <w:t>28.10.2014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nil"/>
          </w:tcBorders>
        </w:tcPr>
        <w:p w:rsidR="007721E5" w:rsidRPr="00235CDA" w:rsidRDefault="007721E5" w:rsidP="00CA5801">
          <w:pPr>
            <w:pStyle w:val="Footer"/>
            <w:tabs>
              <w:tab w:val="clear" w:pos="4153"/>
              <w:tab w:val="clear" w:pos="8306"/>
              <w:tab w:val="left" w:pos="2835"/>
              <w:tab w:val="left" w:pos="5387"/>
              <w:tab w:val="right" w:pos="8647"/>
            </w:tabs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 xml:space="preserve">Page: </w:t>
          </w:r>
          <w:r w:rsidRPr="00235CDA">
            <w:rPr>
              <w:rStyle w:val="PageNumber"/>
              <w:rFonts w:cs="Arial"/>
              <w:szCs w:val="16"/>
            </w:rPr>
            <w:fldChar w:fldCharType="begin"/>
          </w:r>
          <w:r w:rsidRPr="00235CDA">
            <w:rPr>
              <w:rStyle w:val="PageNumber"/>
              <w:rFonts w:cs="Arial"/>
              <w:szCs w:val="16"/>
            </w:rPr>
            <w:instrText xml:space="preserve"> PAGE </w:instrText>
          </w:r>
          <w:r w:rsidRPr="00235CDA">
            <w:rPr>
              <w:rStyle w:val="PageNumber"/>
              <w:rFonts w:cs="Arial"/>
              <w:szCs w:val="16"/>
            </w:rPr>
            <w:fldChar w:fldCharType="separate"/>
          </w:r>
          <w:r w:rsidR="007A5DA1">
            <w:rPr>
              <w:rStyle w:val="PageNumber"/>
              <w:rFonts w:cs="Arial"/>
              <w:noProof/>
              <w:szCs w:val="16"/>
            </w:rPr>
            <w:t>1</w:t>
          </w:r>
          <w:r w:rsidRPr="00235CDA">
            <w:rPr>
              <w:rStyle w:val="PageNumber"/>
              <w:rFonts w:cs="Arial"/>
              <w:szCs w:val="16"/>
            </w:rPr>
            <w:fldChar w:fldCharType="end"/>
          </w:r>
          <w:r w:rsidRPr="00235CDA">
            <w:rPr>
              <w:rStyle w:val="PageNumber"/>
              <w:rFonts w:cs="Arial"/>
              <w:szCs w:val="16"/>
            </w:rPr>
            <w:t xml:space="preserve"> of </w:t>
          </w:r>
          <w:r w:rsidRPr="00235CDA">
            <w:rPr>
              <w:rStyle w:val="PageNumber"/>
              <w:rFonts w:cs="Arial"/>
            </w:rPr>
            <w:fldChar w:fldCharType="begin"/>
          </w:r>
          <w:r w:rsidRPr="00235CDA">
            <w:rPr>
              <w:rStyle w:val="PageNumber"/>
              <w:rFonts w:cs="Arial"/>
            </w:rPr>
            <w:instrText xml:space="preserve"> NUMPAGES </w:instrText>
          </w:r>
          <w:r w:rsidRPr="00235CDA">
            <w:rPr>
              <w:rStyle w:val="PageNumber"/>
              <w:rFonts w:cs="Arial"/>
            </w:rPr>
            <w:fldChar w:fldCharType="separate"/>
          </w:r>
          <w:r w:rsidR="007A5DA1">
            <w:rPr>
              <w:rStyle w:val="PageNumber"/>
              <w:rFonts w:cs="Arial"/>
              <w:noProof/>
            </w:rPr>
            <w:t>3</w:t>
          </w:r>
          <w:r w:rsidRPr="00235CDA">
            <w:rPr>
              <w:rStyle w:val="PageNumber"/>
              <w:rFonts w:cs="Arial"/>
            </w:rPr>
            <w:fldChar w:fldCharType="end"/>
          </w:r>
          <w:r w:rsidRPr="00235CDA">
            <w:rPr>
              <w:rStyle w:val="PageNumber"/>
              <w:rFonts w:cs="Arial"/>
              <w:szCs w:val="16"/>
            </w:rPr>
            <w:t xml:space="preserve"> </w:t>
          </w:r>
        </w:p>
      </w:tc>
    </w:tr>
    <w:tr w:rsidR="007721E5" w:rsidRPr="00235CDA" w:rsidTr="00AF6C77">
      <w:tc>
        <w:tcPr>
          <w:tcW w:w="10773" w:type="dxa"/>
          <w:gridSpan w:val="7"/>
          <w:tcBorders>
            <w:left w:val="nil"/>
            <w:right w:val="nil"/>
          </w:tcBorders>
        </w:tcPr>
        <w:p w:rsidR="007721E5" w:rsidRPr="00235CDA" w:rsidRDefault="007721E5" w:rsidP="007025AD">
          <w:pPr>
            <w:pStyle w:val="Footer"/>
            <w:tabs>
              <w:tab w:val="clear" w:pos="4153"/>
              <w:tab w:val="clear" w:pos="8306"/>
              <w:tab w:val="left" w:pos="2835"/>
              <w:tab w:val="left" w:pos="5387"/>
              <w:tab w:val="right" w:pos="8647"/>
            </w:tabs>
            <w:spacing w:before="60" w:after="60"/>
            <w:rPr>
              <w:rFonts w:cs="Arial"/>
              <w:sz w:val="16"/>
              <w:szCs w:val="16"/>
            </w:rPr>
          </w:pPr>
          <w:r w:rsidRPr="00235CDA">
            <w:rPr>
              <w:rFonts w:cs="Arial"/>
              <w:sz w:val="16"/>
              <w:szCs w:val="16"/>
            </w:rPr>
            <w:t>Approved via Board Memorandum Number: (</w:t>
          </w:r>
          <w:r w:rsidR="007025AD">
            <w:rPr>
              <w:rFonts w:cs="Arial"/>
              <w:sz w:val="16"/>
              <w:szCs w:val="16"/>
            </w:rPr>
            <w:t>BD-14-10-9.1)</w:t>
          </w:r>
        </w:p>
      </w:tc>
    </w:tr>
  </w:tbl>
  <w:p w:rsidR="007721E5" w:rsidRPr="00235CDA" w:rsidRDefault="007721E5" w:rsidP="00235CDA">
    <w:pPr>
      <w:tabs>
        <w:tab w:val="center" w:pos="4153"/>
        <w:tab w:val="right" w:pos="8306"/>
      </w:tabs>
      <w:jc w:val="center"/>
      <w:rPr>
        <w:rFonts w:cs="Arial"/>
        <w:b/>
        <w:sz w:val="18"/>
        <w:szCs w:val="18"/>
      </w:rPr>
    </w:pPr>
    <w:r w:rsidRPr="00235CDA">
      <w:rPr>
        <w:rFonts w:cs="Arial"/>
        <w:b/>
        <w:sz w:val="18"/>
        <w:szCs w:val="18"/>
      </w:rPr>
      <w:t>THIS DOCUMENT IS UNCONTROLLED IN HARD COPY FORMAT</w:t>
    </w:r>
  </w:p>
  <w:p w:rsidR="007721E5" w:rsidRDefault="00772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D1" w:rsidRDefault="00FE6ED1">
      <w:r>
        <w:separator/>
      </w:r>
    </w:p>
    <w:p w:rsidR="00FE6ED1" w:rsidRDefault="00FE6ED1"/>
  </w:footnote>
  <w:footnote w:type="continuationSeparator" w:id="0">
    <w:p w:rsidR="00FE6ED1" w:rsidRDefault="00FE6ED1">
      <w:r>
        <w:continuationSeparator/>
      </w:r>
    </w:p>
    <w:p w:rsidR="00FE6ED1" w:rsidRDefault="00FE6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E5" w:rsidRDefault="00036125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BCCDF47" wp14:editId="6D9E61AF">
          <wp:simplePos x="0" y="0"/>
          <wp:positionH relativeFrom="column">
            <wp:posOffset>5497830</wp:posOffset>
          </wp:positionH>
          <wp:positionV relativeFrom="paragraph">
            <wp:posOffset>-107315</wp:posOffset>
          </wp:positionV>
          <wp:extent cx="899795" cy="367665"/>
          <wp:effectExtent l="0" t="0" r="0" b="0"/>
          <wp:wrapNone/>
          <wp:docPr id="4" name="Picture 4" descr="Stanwell logo_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well logo_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1E5" w:rsidRDefault="007721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E5" w:rsidRDefault="00036125" w:rsidP="00235CDA">
    <w:pPr>
      <w:pStyle w:val="Header"/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62548798" wp14:editId="5FE2C156">
          <wp:simplePos x="0" y="0"/>
          <wp:positionH relativeFrom="column">
            <wp:posOffset>4572000</wp:posOffset>
          </wp:positionH>
          <wp:positionV relativeFrom="paragraph">
            <wp:posOffset>6985</wp:posOffset>
          </wp:positionV>
          <wp:extent cx="1619250" cy="838200"/>
          <wp:effectExtent l="0" t="0" r="0" b="0"/>
          <wp:wrapNone/>
          <wp:docPr id="5" name="Picture 5" descr="Stanwell Logo_ colour - 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nwell Logo_ colour - 300dp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1E5" w:rsidRPr="008D0EAC" w:rsidRDefault="007721E5" w:rsidP="00235CDA">
    <w:pPr>
      <w:pStyle w:val="Header"/>
      <w:rPr>
        <w:rFonts w:cs="Arial"/>
      </w:rPr>
    </w:pPr>
    <w:r w:rsidRPr="008D0EAC">
      <w:rPr>
        <w:rFonts w:cs="Arial"/>
        <w:sz w:val="52"/>
        <w:szCs w:val="52"/>
      </w:rPr>
      <w:t>Policy</w:t>
    </w:r>
  </w:p>
  <w:p w:rsidR="007721E5" w:rsidRDefault="007721E5">
    <w:pPr>
      <w:pStyle w:val="Header"/>
    </w:pPr>
  </w:p>
  <w:p w:rsidR="00C85DEE" w:rsidRDefault="00C85DEE">
    <w:pPr>
      <w:pStyle w:val="Header"/>
    </w:pPr>
  </w:p>
  <w:p w:rsidR="007721E5" w:rsidRDefault="00772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CC"/>
    <w:multiLevelType w:val="hybridMultilevel"/>
    <w:tmpl w:val="DD3AA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33EB"/>
    <w:multiLevelType w:val="hybridMultilevel"/>
    <w:tmpl w:val="E3220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E23F6"/>
    <w:multiLevelType w:val="hybridMultilevel"/>
    <w:tmpl w:val="7F5A3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B58"/>
    <w:multiLevelType w:val="multilevel"/>
    <w:tmpl w:val="B096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D4385"/>
    <w:multiLevelType w:val="hybridMultilevel"/>
    <w:tmpl w:val="37FAF7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61B00E2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5CA7"/>
    <w:multiLevelType w:val="hybridMultilevel"/>
    <w:tmpl w:val="735E7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0DAD"/>
    <w:multiLevelType w:val="hybridMultilevel"/>
    <w:tmpl w:val="B22027B0"/>
    <w:lvl w:ilvl="0" w:tplc="019E86E0">
      <w:start w:val="1"/>
      <w:numFmt w:val="decimal"/>
      <w:pStyle w:val="SCL-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526CA"/>
    <w:multiLevelType w:val="hybridMultilevel"/>
    <w:tmpl w:val="AEEE95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906DE"/>
    <w:multiLevelType w:val="hybridMultilevel"/>
    <w:tmpl w:val="470048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7C3D57"/>
    <w:multiLevelType w:val="hybridMultilevel"/>
    <w:tmpl w:val="C24431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9A6710"/>
    <w:multiLevelType w:val="hybridMultilevel"/>
    <w:tmpl w:val="3580D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6456A4"/>
    <w:multiLevelType w:val="hybridMultilevel"/>
    <w:tmpl w:val="84E83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871A06"/>
    <w:multiLevelType w:val="hybridMultilevel"/>
    <w:tmpl w:val="ECC85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E712E"/>
    <w:multiLevelType w:val="hybridMultilevel"/>
    <w:tmpl w:val="8954F5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CF3727"/>
    <w:multiLevelType w:val="hybridMultilevel"/>
    <w:tmpl w:val="365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27B4A"/>
    <w:multiLevelType w:val="hybridMultilevel"/>
    <w:tmpl w:val="A2B21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C6E04"/>
    <w:multiLevelType w:val="hybridMultilevel"/>
    <w:tmpl w:val="9E3E20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3A72DE"/>
    <w:multiLevelType w:val="hybridMultilevel"/>
    <w:tmpl w:val="1A3E4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5E75E5"/>
    <w:multiLevelType w:val="hybridMultilevel"/>
    <w:tmpl w:val="6158FF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A56023"/>
    <w:multiLevelType w:val="hybridMultilevel"/>
    <w:tmpl w:val="F564B8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B"/>
    <w:rsid w:val="00007150"/>
    <w:rsid w:val="00036125"/>
    <w:rsid w:val="00051375"/>
    <w:rsid w:val="00064016"/>
    <w:rsid w:val="00090C3D"/>
    <w:rsid w:val="000967F8"/>
    <w:rsid w:val="000C161A"/>
    <w:rsid w:val="000E7225"/>
    <w:rsid w:val="00121C86"/>
    <w:rsid w:val="00125FCD"/>
    <w:rsid w:val="00150534"/>
    <w:rsid w:val="001835FB"/>
    <w:rsid w:val="001969EB"/>
    <w:rsid w:val="001A66B1"/>
    <w:rsid w:val="001B2789"/>
    <w:rsid w:val="001C49EF"/>
    <w:rsid w:val="001C7AF4"/>
    <w:rsid w:val="001D5DE5"/>
    <w:rsid w:val="001E26E8"/>
    <w:rsid w:val="002006AC"/>
    <w:rsid w:val="00221453"/>
    <w:rsid w:val="00234B79"/>
    <w:rsid w:val="00235CDA"/>
    <w:rsid w:val="00252506"/>
    <w:rsid w:val="0026083D"/>
    <w:rsid w:val="0026164C"/>
    <w:rsid w:val="00273D48"/>
    <w:rsid w:val="00282266"/>
    <w:rsid w:val="00283783"/>
    <w:rsid w:val="002A3CB7"/>
    <w:rsid w:val="002A5573"/>
    <w:rsid w:val="002B0D7D"/>
    <w:rsid w:val="002B3CBC"/>
    <w:rsid w:val="002B4A3F"/>
    <w:rsid w:val="002D5DBF"/>
    <w:rsid w:val="002D6F91"/>
    <w:rsid w:val="002E6056"/>
    <w:rsid w:val="002F1B1A"/>
    <w:rsid w:val="002F5AED"/>
    <w:rsid w:val="003076D4"/>
    <w:rsid w:val="0032307C"/>
    <w:rsid w:val="0034160B"/>
    <w:rsid w:val="003453D0"/>
    <w:rsid w:val="003459D5"/>
    <w:rsid w:val="00351A93"/>
    <w:rsid w:val="00366371"/>
    <w:rsid w:val="0038317B"/>
    <w:rsid w:val="003976F4"/>
    <w:rsid w:val="003A62B6"/>
    <w:rsid w:val="003A62EB"/>
    <w:rsid w:val="003B5C21"/>
    <w:rsid w:val="003D120C"/>
    <w:rsid w:val="003E38B4"/>
    <w:rsid w:val="003E4628"/>
    <w:rsid w:val="003F391F"/>
    <w:rsid w:val="004016EF"/>
    <w:rsid w:val="00405E63"/>
    <w:rsid w:val="00410BF8"/>
    <w:rsid w:val="004244DB"/>
    <w:rsid w:val="00444D3B"/>
    <w:rsid w:val="00457CDB"/>
    <w:rsid w:val="00484601"/>
    <w:rsid w:val="00484EBD"/>
    <w:rsid w:val="004913BD"/>
    <w:rsid w:val="004927AB"/>
    <w:rsid w:val="004929D1"/>
    <w:rsid w:val="00495C5D"/>
    <w:rsid w:val="004B1602"/>
    <w:rsid w:val="004C6644"/>
    <w:rsid w:val="004E4980"/>
    <w:rsid w:val="004F4615"/>
    <w:rsid w:val="00506D3C"/>
    <w:rsid w:val="005076DC"/>
    <w:rsid w:val="00512C6B"/>
    <w:rsid w:val="00530EDF"/>
    <w:rsid w:val="00565D04"/>
    <w:rsid w:val="00565DA4"/>
    <w:rsid w:val="005735AB"/>
    <w:rsid w:val="005B3DEC"/>
    <w:rsid w:val="005B72F6"/>
    <w:rsid w:val="005C24C8"/>
    <w:rsid w:val="005C69F1"/>
    <w:rsid w:val="005D4274"/>
    <w:rsid w:val="005F1163"/>
    <w:rsid w:val="005F4882"/>
    <w:rsid w:val="00613034"/>
    <w:rsid w:val="00621609"/>
    <w:rsid w:val="0062452B"/>
    <w:rsid w:val="00641F96"/>
    <w:rsid w:val="00645C46"/>
    <w:rsid w:val="00650228"/>
    <w:rsid w:val="00670CEB"/>
    <w:rsid w:val="006A6B8D"/>
    <w:rsid w:val="006B7F87"/>
    <w:rsid w:val="006C3449"/>
    <w:rsid w:val="006C598C"/>
    <w:rsid w:val="006D2CDF"/>
    <w:rsid w:val="006D6F03"/>
    <w:rsid w:val="006E0532"/>
    <w:rsid w:val="007025AD"/>
    <w:rsid w:val="00703A36"/>
    <w:rsid w:val="00716F1A"/>
    <w:rsid w:val="00723E03"/>
    <w:rsid w:val="00733157"/>
    <w:rsid w:val="00752D66"/>
    <w:rsid w:val="007721E5"/>
    <w:rsid w:val="0077264C"/>
    <w:rsid w:val="0077402C"/>
    <w:rsid w:val="007901D6"/>
    <w:rsid w:val="00793A68"/>
    <w:rsid w:val="007952D5"/>
    <w:rsid w:val="007A0AF9"/>
    <w:rsid w:val="007A5DA1"/>
    <w:rsid w:val="007B030F"/>
    <w:rsid w:val="007C079F"/>
    <w:rsid w:val="007D2D74"/>
    <w:rsid w:val="007D4791"/>
    <w:rsid w:val="007D67CE"/>
    <w:rsid w:val="007E7C10"/>
    <w:rsid w:val="007F0D81"/>
    <w:rsid w:val="007F32B9"/>
    <w:rsid w:val="007F36BD"/>
    <w:rsid w:val="007F5BFB"/>
    <w:rsid w:val="007F6F49"/>
    <w:rsid w:val="00805B2D"/>
    <w:rsid w:val="008079CA"/>
    <w:rsid w:val="00814B7F"/>
    <w:rsid w:val="00820A8D"/>
    <w:rsid w:val="0082295E"/>
    <w:rsid w:val="00825341"/>
    <w:rsid w:val="00832AC2"/>
    <w:rsid w:val="00833196"/>
    <w:rsid w:val="00837F48"/>
    <w:rsid w:val="00854776"/>
    <w:rsid w:val="00890F17"/>
    <w:rsid w:val="0089445D"/>
    <w:rsid w:val="008A2EC6"/>
    <w:rsid w:val="008B30AE"/>
    <w:rsid w:val="008C3738"/>
    <w:rsid w:val="008D0EAC"/>
    <w:rsid w:val="008E18F7"/>
    <w:rsid w:val="008F7578"/>
    <w:rsid w:val="008F7EFE"/>
    <w:rsid w:val="00900AF9"/>
    <w:rsid w:val="00901EB1"/>
    <w:rsid w:val="00906566"/>
    <w:rsid w:val="009116A3"/>
    <w:rsid w:val="009121B0"/>
    <w:rsid w:val="00945ACC"/>
    <w:rsid w:val="0096275B"/>
    <w:rsid w:val="00962F8B"/>
    <w:rsid w:val="00965356"/>
    <w:rsid w:val="00997DAB"/>
    <w:rsid w:val="009A3CF7"/>
    <w:rsid w:val="00A41C57"/>
    <w:rsid w:val="00A43B8A"/>
    <w:rsid w:val="00A47162"/>
    <w:rsid w:val="00A54075"/>
    <w:rsid w:val="00A60C64"/>
    <w:rsid w:val="00A73988"/>
    <w:rsid w:val="00A95D32"/>
    <w:rsid w:val="00AA16E8"/>
    <w:rsid w:val="00AA5E3F"/>
    <w:rsid w:val="00AD2CC1"/>
    <w:rsid w:val="00AD338C"/>
    <w:rsid w:val="00AF0774"/>
    <w:rsid w:val="00AF6C77"/>
    <w:rsid w:val="00B13536"/>
    <w:rsid w:val="00B24B4B"/>
    <w:rsid w:val="00B260E8"/>
    <w:rsid w:val="00B31BC7"/>
    <w:rsid w:val="00B448BA"/>
    <w:rsid w:val="00B44EF6"/>
    <w:rsid w:val="00B531DB"/>
    <w:rsid w:val="00B928F2"/>
    <w:rsid w:val="00B965C1"/>
    <w:rsid w:val="00BA7AE2"/>
    <w:rsid w:val="00BC564D"/>
    <w:rsid w:val="00BF4847"/>
    <w:rsid w:val="00C01305"/>
    <w:rsid w:val="00C043B6"/>
    <w:rsid w:val="00C46466"/>
    <w:rsid w:val="00C55C98"/>
    <w:rsid w:val="00C568BB"/>
    <w:rsid w:val="00C67C49"/>
    <w:rsid w:val="00C85DEE"/>
    <w:rsid w:val="00CA5801"/>
    <w:rsid w:val="00CB6CF0"/>
    <w:rsid w:val="00CC188A"/>
    <w:rsid w:val="00CC35BA"/>
    <w:rsid w:val="00CC5D9E"/>
    <w:rsid w:val="00CE549F"/>
    <w:rsid w:val="00CE747B"/>
    <w:rsid w:val="00CE7542"/>
    <w:rsid w:val="00D03450"/>
    <w:rsid w:val="00D42129"/>
    <w:rsid w:val="00D44E27"/>
    <w:rsid w:val="00D47E41"/>
    <w:rsid w:val="00D617A2"/>
    <w:rsid w:val="00D6242F"/>
    <w:rsid w:val="00D73CD6"/>
    <w:rsid w:val="00D937D4"/>
    <w:rsid w:val="00DB0A5E"/>
    <w:rsid w:val="00DB2D7B"/>
    <w:rsid w:val="00DB7988"/>
    <w:rsid w:val="00DC0F2D"/>
    <w:rsid w:val="00DC12FC"/>
    <w:rsid w:val="00E057E4"/>
    <w:rsid w:val="00E205E3"/>
    <w:rsid w:val="00E3302B"/>
    <w:rsid w:val="00E51343"/>
    <w:rsid w:val="00E521FA"/>
    <w:rsid w:val="00E83B80"/>
    <w:rsid w:val="00E85342"/>
    <w:rsid w:val="00E91945"/>
    <w:rsid w:val="00E940D6"/>
    <w:rsid w:val="00E97645"/>
    <w:rsid w:val="00EA550A"/>
    <w:rsid w:val="00EA5657"/>
    <w:rsid w:val="00EE33FF"/>
    <w:rsid w:val="00EE3DDF"/>
    <w:rsid w:val="00F10515"/>
    <w:rsid w:val="00F148A8"/>
    <w:rsid w:val="00F241DE"/>
    <w:rsid w:val="00F3427E"/>
    <w:rsid w:val="00F67E61"/>
    <w:rsid w:val="00F87E5D"/>
    <w:rsid w:val="00F908EC"/>
    <w:rsid w:val="00F950E2"/>
    <w:rsid w:val="00FA1C22"/>
    <w:rsid w:val="00FB6E3E"/>
    <w:rsid w:val="00FC20EB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lock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Table Grid" w:locked="0"/>
    <w:lsdException w:name="Placeholder Text" w:locked="0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73988"/>
  </w:style>
  <w:style w:type="paragraph" w:styleId="Heading1">
    <w:name w:val="heading 1"/>
    <w:basedOn w:val="Normal"/>
    <w:next w:val="Normal"/>
    <w:semiHidden/>
    <w:qFormat/>
    <w:rsid w:val="005B72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5B72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5B72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D0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D0EAC"/>
    <w:pPr>
      <w:tabs>
        <w:tab w:val="center" w:pos="4153"/>
        <w:tab w:val="right" w:pos="8306"/>
      </w:tabs>
    </w:pPr>
  </w:style>
  <w:style w:type="paragraph" w:customStyle="1" w:styleId="SCL-DocNumber">
    <w:name w:val="SCL - Doc Number"/>
    <w:basedOn w:val="Normal"/>
    <w:next w:val="Normal"/>
    <w:link w:val="SCL-DocNumberChar"/>
    <w:rsid w:val="005B72F6"/>
    <w:pPr>
      <w:pBdr>
        <w:bottom w:val="single" w:sz="4" w:space="1" w:color="auto"/>
      </w:pBdr>
      <w:spacing w:after="120"/>
    </w:pPr>
    <w:rPr>
      <w:rFonts w:cs="Arial"/>
      <w:b/>
      <w:sz w:val="32"/>
      <w:szCs w:val="32"/>
    </w:rPr>
  </w:style>
  <w:style w:type="character" w:styleId="PageNumber">
    <w:name w:val="page number"/>
    <w:semiHidden/>
    <w:rsid w:val="00235CDA"/>
    <w:rPr>
      <w:sz w:val="16"/>
    </w:rPr>
  </w:style>
  <w:style w:type="table" w:styleId="TableGrid">
    <w:name w:val="Table Grid"/>
    <w:basedOn w:val="TableNormal"/>
    <w:semiHidden/>
    <w:rsid w:val="0034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L-DocNumberChar">
    <w:name w:val="SCL - Doc Number Char"/>
    <w:link w:val="SCL-DocNumber"/>
    <w:rsid w:val="005B72F6"/>
    <w:rPr>
      <w:rFonts w:ascii="Arial" w:hAnsi="Arial" w:cs="Arial"/>
      <w:b/>
      <w:sz w:val="32"/>
      <w:szCs w:val="32"/>
      <w:lang w:val="en-AU" w:eastAsia="en-AU" w:bidi="ar-SA"/>
    </w:rPr>
  </w:style>
  <w:style w:type="paragraph" w:customStyle="1" w:styleId="SCL-Title">
    <w:name w:val="SCL - Title"/>
    <w:basedOn w:val="Normal"/>
    <w:rsid w:val="005B72F6"/>
    <w:pPr>
      <w:pBdr>
        <w:top w:val="single" w:sz="4" w:space="1" w:color="auto"/>
      </w:pBdr>
      <w:spacing w:before="120" w:after="120"/>
      <w:jc w:val="both"/>
    </w:pPr>
    <w:rPr>
      <w:b/>
      <w:bCs/>
      <w:sz w:val="40"/>
    </w:rPr>
  </w:style>
  <w:style w:type="paragraph" w:customStyle="1" w:styleId="SCL-Heading1">
    <w:name w:val="SCL - Heading 1"/>
    <w:basedOn w:val="Normal"/>
    <w:next w:val="Heading1"/>
    <w:rsid w:val="00B448BA"/>
    <w:pPr>
      <w:numPr>
        <w:numId w:val="1"/>
      </w:numPr>
      <w:tabs>
        <w:tab w:val="clear" w:pos="720"/>
        <w:tab w:val="num" w:pos="360"/>
      </w:tabs>
      <w:spacing w:before="120" w:after="60" w:line="320" w:lineRule="exact"/>
      <w:ind w:left="357" w:hanging="357"/>
    </w:pPr>
    <w:rPr>
      <w:b/>
      <w:bCs/>
      <w:kern w:val="32"/>
      <w:sz w:val="26"/>
    </w:rPr>
  </w:style>
  <w:style w:type="paragraph" w:customStyle="1" w:styleId="SCL-ContentText">
    <w:name w:val="SCL - Content Text"/>
    <w:basedOn w:val="Normal"/>
    <w:rsid w:val="002A5573"/>
    <w:pPr>
      <w:ind w:left="709"/>
    </w:pPr>
  </w:style>
  <w:style w:type="paragraph" w:customStyle="1" w:styleId="HelpTextTemplateOnly">
    <w:name w:val="HelpText (TemplateOnly)"/>
    <w:basedOn w:val="Normal"/>
    <w:next w:val="Normal"/>
    <w:link w:val="HelpTextTemplateOnlyChar"/>
    <w:semiHidden/>
    <w:locked/>
    <w:rsid w:val="001A66B1"/>
    <w:pPr>
      <w:shd w:val="clear" w:color="auto" w:fill="FFFF00"/>
      <w:jc w:val="both"/>
    </w:pPr>
    <w:rPr>
      <w:lang w:eastAsia="en-US"/>
    </w:rPr>
  </w:style>
  <w:style w:type="character" w:customStyle="1" w:styleId="HelpTextTemplateOnlyChar">
    <w:name w:val="HelpText (TemplateOnly) Char"/>
    <w:link w:val="HelpTextTemplateOnly"/>
    <w:semiHidden/>
    <w:rsid w:val="00A73988"/>
    <w:rPr>
      <w:shd w:val="clear" w:color="auto" w:fill="FFFF00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48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73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506D3C"/>
    <w:rPr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121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C34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locked/>
    <w:rsid w:val="00A5407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locked/>
    <w:rsid w:val="00E3302B"/>
  </w:style>
  <w:style w:type="character" w:customStyle="1" w:styleId="CommentTextChar">
    <w:name w:val="Comment Text Char"/>
    <w:basedOn w:val="DefaultParagraphFont"/>
    <w:link w:val="CommentText"/>
    <w:semiHidden/>
    <w:rsid w:val="00E3302B"/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02B"/>
    <w:rPr>
      <w:b/>
      <w:bCs/>
    </w:rPr>
  </w:style>
  <w:style w:type="paragraph" w:customStyle="1" w:styleId="SCL-Heading2">
    <w:name w:val="SCL - Heading 2"/>
    <w:basedOn w:val="Heading2"/>
    <w:next w:val="Normal"/>
    <w:autoRedefine/>
    <w:rsid w:val="00B448BA"/>
    <w:pPr>
      <w:tabs>
        <w:tab w:val="num" w:pos="900"/>
      </w:tabs>
      <w:spacing w:line="320" w:lineRule="exact"/>
      <w:ind w:left="901" w:hanging="541"/>
    </w:pPr>
    <w:rPr>
      <w:i w:val="0"/>
      <w:sz w:val="22"/>
      <w:szCs w:val="22"/>
    </w:rPr>
  </w:style>
  <w:style w:type="table" w:customStyle="1" w:styleId="TableGrid1">
    <w:name w:val="Table Grid1"/>
    <w:basedOn w:val="TableNormal"/>
    <w:next w:val="TableGrid"/>
    <w:rsid w:val="00C8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lock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Table Grid" w:locked="0"/>
    <w:lsdException w:name="Placeholder Text" w:locked="0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73988"/>
  </w:style>
  <w:style w:type="paragraph" w:styleId="Heading1">
    <w:name w:val="heading 1"/>
    <w:basedOn w:val="Normal"/>
    <w:next w:val="Normal"/>
    <w:semiHidden/>
    <w:qFormat/>
    <w:rsid w:val="005B72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5B72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5B72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D0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D0EAC"/>
    <w:pPr>
      <w:tabs>
        <w:tab w:val="center" w:pos="4153"/>
        <w:tab w:val="right" w:pos="8306"/>
      </w:tabs>
    </w:pPr>
  </w:style>
  <w:style w:type="paragraph" w:customStyle="1" w:styleId="SCL-DocNumber">
    <w:name w:val="SCL - Doc Number"/>
    <w:basedOn w:val="Normal"/>
    <w:next w:val="Normal"/>
    <w:link w:val="SCL-DocNumberChar"/>
    <w:rsid w:val="005B72F6"/>
    <w:pPr>
      <w:pBdr>
        <w:bottom w:val="single" w:sz="4" w:space="1" w:color="auto"/>
      </w:pBdr>
      <w:spacing w:after="120"/>
    </w:pPr>
    <w:rPr>
      <w:rFonts w:cs="Arial"/>
      <w:b/>
      <w:sz w:val="32"/>
      <w:szCs w:val="32"/>
    </w:rPr>
  </w:style>
  <w:style w:type="character" w:styleId="PageNumber">
    <w:name w:val="page number"/>
    <w:semiHidden/>
    <w:rsid w:val="00235CDA"/>
    <w:rPr>
      <w:sz w:val="16"/>
    </w:rPr>
  </w:style>
  <w:style w:type="table" w:styleId="TableGrid">
    <w:name w:val="Table Grid"/>
    <w:basedOn w:val="TableNormal"/>
    <w:semiHidden/>
    <w:rsid w:val="0034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L-DocNumberChar">
    <w:name w:val="SCL - Doc Number Char"/>
    <w:link w:val="SCL-DocNumber"/>
    <w:rsid w:val="005B72F6"/>
    <w:rPr>
      <w:rFonts w:ascii="Arial" w:hAnsi="Arial" w:cs="Arial"/>
      <w:b/>
      <w:sz w:val="32"/>
      <w:szCs w:val="32"/>
      <w:lang w:val="en-AU" w:eastAsia="en-AU" w:bidi="ar-SA"/>
    </w:rPr>
  </w:style>
  <w:style w:type="paragraph" w:customStyle="1" w:styleId="SCL-Title">
    <w:name w:val="SCL - Title"/>
    <w:basedOn w:val="Normal"/>
    <w:rsid w:val="005B72F6"/>
    <w:pPr>
      <w:pBdr>
        <w:top w:val="single" w:sz="4" w:space="1" w:color="auto"/>
      </w:pBdr>
      <w:spacing w:before="120" w:after="120"/>
      <w:jc w:val="both"/>
    </w:pPr>
    <w:rPr>
      <w:b/>
      <w:bCs/>
      <w:sz w:val="40"/>
    </w:rPr>
  </w:style>
  <w:style w:type="paragraph" w:customStyle="1" w:styleId="SCL-Heading1">
    <w:name w:val="SCL - Heading 1"/>
    <w:basedOn w:val="Normal"/>
    <w:next w:val="Heading1"/>
    <w:rsid w:val="00B448BA"/>
    <w:pPr>
      <w:numPr>
        <w:numId w:val="1"/>
      </w:numPr>
      <w:tabs>
        <w:tab w:val="clear" w:pos="720"/>
        <w:tab w:val="num" w:pos="360"/>
      </w:tabs>
      <w:spacing w:before="120" w:after="60" w:line="320" w:lineRule="exact"/>
      <w:ind w:left="357" w:hanging="357"/>
    </w:pPr>
    <w:rPr>
      <w:b/>
      <w:bCs/>
      <w:kern w:val="32"/>
      <w:sz w:val="26"/>
    </w:rPr>
  </w:style>
  <w:style w:type="paragraph" w:customStyle="1" w:styleId="SCL-ContentText">
    <w:name w:val="SCL - Content Text"/>
    <w:basedOn w:val="Normal"/>
    <w:rsid w:val="002A5573"/>
    <w:pPr>
      <w:ind w:left="709"/>
    </w:pPr>
  </w:style>
  <w:style w:type="paragraph" w:customStyle="1" w:styleId="HelpTextTemplateOnly">
    <w:name w:val="HelpText (TemplateOnly)"/>
    <w:basedOn w:val="Normal"/>
    <w:next w:val="Normal"/>
    <w:link w:val="HelpTextTemplateOnlyChar"/>
    <w:semiHidden/>
    <w:locked/>
    <w:rsid w:val="001A66B1"/>
    <w:pPr>
      <w:shd w:val="clear" w:color="auto" w:fill="FFFF00"/>
      <w:jc w:val="both"/>
    </w:pPr>
    <w:rPr>
      <w:lang w:eastAsia="en-US"/>
    </w:rPr>
  </w:style>
  <w:style w:type="character" w:customStyle="1" w:styleId="HelpTextTemplateOnlyChar">
    <w:name w:val="HelpText (TemplateOnly) Char"/>
    <w:link w:val="HelpTextTemplateOnly"/>
    <w:semiHidden/>
    <w:rsid w:val="00A73988"/>
    <w:rPr>
      <w:shd w:val="clear" w:color="auto" w:fill="FFFF00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48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73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506D3C"/>
    <w:rPr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121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C34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locked/>
    <w:rsid w:val="00A5407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locked/>
    <w:rsid w:val="00E3302B"/>
  </w:style>
  <w:style w:type="character" w:customStyle="1" w:styleId="CommentTextChar">
    <w:name w:val="Comment Text Char"/>
    <w:basedOn w:val="DefaultParagraphFont"/>
    <w:link w:val="CommentText"/>
    <w:semiHidden/>
    <w:rsid w:val="00E3302B"/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02B"/>
    <w:rPr>
      <w:b/>
      <w:bCs/>
    </w:rPr>
  </w:style>
  <w:style w:type="paragraph" w:customStyle="1" w:styleId="SCL-Heading2">
    <w:name w:val="SCL - Heading 2"/>
    <w:basedOn w:val="Heading2"/>
    <w:next w:val="Normal"/>
    <w:autoRedefine/>
    <w:rsid w:val="00B448BA"/>
    <w:pPr>
      <w:tabs>
        <w:tab w:val="num" w:pos="900"/>
      </w:tabs>
      <w:spacing w:line="320" w:lineRule="exact"/>
      <w:ind w:left="901" w:hanging="541"/>
    </w:pPr>
    <w:rPr>
      <w:i w:val="0"/>
      <w:sz w:val="22"/>
      <w:szCs w:val="22"/>
    </w:rPr>
  </w:style>
  <w:style w:type="table" w:customStyle="1" w:styleId="TableGrid1">
    <w:name w:val="Table Grid1"/>
    <w:basedOn w:val="TableNormal"/>
    <w:next w:val="TableGrid"/>
    <w:rsid w:val="00C8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gregg@stanwel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ny.secretary@stanwe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1475</Words>
  <Characters>7968</Characters>
  <Application>Microsoft Office Word</Application>
  <DocSecurity>0</DocSecurity>
  <Lines>468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Tarong Energy Corporation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pcoates</dc:creator>
  <cp:lastModifiedBy>Kettle, Petra</cp:lastModifiedBy>
  <cp:revision>9</cp:revision>
  <cp:lastPrinted>2014-09-18T05:55:00Z</cp:lastPrinted>
  <dcterms:created xsi:type="dcterms:W3CDTF">2014-10-06T23:45:00Z</dcterms:created>
  <dcterms:modified xsi:type="dcterms:W3CDTF">2014-11-19T20:32:00Z</dcterms:modified>
</cp:coreProperties>
</file>